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Reserve Certainty Sr. Task Force</w:t>
      </w:r>
    </w:p>
    <w:p w:rsidR="00B62597" w:rsidRPr="00B62597" w:rsidP="00755096">
      <w:pPr>
        <w:pStyle w:val="MeetingDetails"/>
      </w:pPr>
      <w:r>
        <w:t>PJM Conference and Training Center</w:t>
      </w:r>
      <w:r w:rsidR="00014669">
        <w:t>/</w:t>
      </w:r>
      <w:r w:rsidR="00014669">
        <w:t>Webex</w:t>
      </w:r>
    </w:p>
    <w:p w:rsidR="00B62597" w:rsidRPr="00B62597" w:rsidP="00755096">
      <w:pPr>
        <w:pStyle w:val="MeetingDetails"/>
      </w:pPr>
      <w:r>
        <w:t>October 26</w:t>
      </w:r>
      <w:r w:rsidR="002B2F98">
        <w:t xml:space="preserve">, </w:t>
      </w:r>
      <w:r w:rsidR="0097702E">
        <w:t>2023</w:t>
      </w:r>
    </w:p>
    <w:p w:rsidR="00B62597" w:rsidRPr="00B62597" w:rsidP="00755096">
      <w:pPr>
        <w:pStyle w:val="MeetingDetails"/>
        <w:rPr>
          <w:sz w:val="28"/>
          <w:u w:val="single"/>
        </w:rPr>
      </w:pPr>
      <w:r>
        <w:t>1</w:t>
      </w:r>
      <w:r w:rsidR="002B2F98">
        <w:t xml:space="preserve">:00 </w:t>
      </w:r>
      <w:r>
        <w:t>p.m. – 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4EAC">
        <w:t>on (1:00-1</w:t>
      </w:r>
      <w:r w:rsidRPr="00527104">
        <w:t>:</w:t>
      </w:r>
      <w:r w:rsidR="00936448">
        <w:t>10</w:t>
      </w:r>
      <w:r w:rsidRPr="00527104">
        <w:t>)</w:t>
      </w:r>
    </w:p>
    <w:bookmarkEnd w:id="0"/>
    <w:bookmarkEnd w:id="1"/>
    <w:p w:rsidR="00B62597" w:rsidRPr="00DA4EAC" w:rsidP="00DA4EAC">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F92303" w:rsidRPr="00DB29E9" w:rsidP="00F92303">
      <w:pPr>
        <w:pStyle w:val="PrimaryHeading"/>
      </w:pPr>
      <w:r>
        <w:t>Work Plan and Education (1:</w:t>
      </w:r>
      <w:r w:rsidR="00D73EE2">
        <w:t>1</w:t>
      </w:r>
      <w:r w:rsidR="00936448">
        <w:t>0</w:t>
      </w:r>
      <w:r>
        <w:t>-3:55)</w:t>
      </w:r>
    </w:p>
    <w:p w:rsidR="00F92303" w:rsidP="00F92303">
      <w:pPr>
        <w:pStyle w:val="SecondaryHeading-Numbered"/>
        <w:rPr>
          <w:b w:val="0"/>
        </w:rPr>
      </w:pPr>
      <w:r>
        <w:rPr>
          <w:b w:val="0"/>
        </w:rPr>
        <w:t>Dave Kimmel</w:t>
      </w:r>
      <w:r w:rsidR="006A2FCC">
        <w:rPr>
          <w:b w:val="0"/>
        </w:rPr>
        <w:t xml:space="preserve">, PJM, will provide </w:t>
      </w:r>
      <w:r w:rsidR="006329D8">
        <w:rPr>
          <w:b w:val="0"/>
        </w:rPr>
        <w:t xml:space="preserve">additional metrics on </w:t>
      </w:r>
      <w:r w:rsidR="00D73EE2">
        <w:rPr>
          <w:b w:val="0"/>
        </w:rPr>
        <w:t>reserve event performance measurement.</w:t>
      </w:r>
    </w:p>
    <w:p w:rsidR="00D73EE2" w:rsidRPr="00D73EE2" w:rsidP="00D73EE2">
      <w:pPr>
        <w:pStyle w:val="SecondaryHeading-Numbered"/>
        <w:rPr>
          <w:b w:val="0"/>
        </w:rPr>
      </w:pPr>
      <w:r w:rsidRPr="00D73EE2">
        <w:rPr>
          <w:b w:val="0"/>
        </w:rPr>
        <w:t>Donnie Bielak</w:t>
      </w:r>
      <w:r w:rsidRPr="00D73EE2" w:rsidR="00F92303">
        <w:rPr>
          <w:b w:val="0"/>
        </w:rPr>
        <w:t xml:space="preserve">, PJM, </w:t>
      </w:r>
      <w:r w:rsidRPr="00D73EE2">
        <w:rPr>
          <w:b w:val="0"/>
        </w:rPr>
        <w:t xml:space="preserve">will provide education on </w:t>
      </w:r>
      <w:r>
        <w:rPr>
          <w:b w:val="0"/>
        </w:rPr>
        <w:t xml:space="preserve">the </w:t>
      </w:r>
      <w:r w:rsidRPr="00D73EE2">
        <w:rPr>
          <w:b w:val="0"/>
        </w:rPr>
        <w:t xml:space="preserve">status-quo process for synchronized and non-synchronized reserve deployment, including technology, timing, and generators’ use of communication tools. </w:t>
      </w:r>
    </w:p>
    <w:p w:rsidR="006329D8" w:rsidRPr="00D73EE2" w:rsidP="006329D8">
      <w:pPr>
        <w:pStyle w:val="SecondaryHeading-Numbered"/>
        <w:rPr>
          <w:b w:val="0"/>
        </w:rPr>
      </w:pPr>
      <w:r w:rsidRPr="00D73EE2">
        <w:rPr>
          <w:b w:val="0"/>
        </w:rPr>
        <w:t xml:space="preserve">Joel Luna, Monitoring Analytics, will provide </w:t>
      </w:r>
      <w:r>
        <w:rPr>
          <w:b w:val="0"/>
        </w:rPr>
        <w:t>education on</w:t>
      </w:r>
      <w:r w:rsidRPr="00D73EE2">
        <w:rPr>
          <w:b w:val="0"/>
        </w:rPr>
        <w:t xml:space="preserve"> communications for reserves</w:t>
      </w:r>
      <w:r>
        <w:rPr>
          <w:b w:val="0"/>
        </w:rPr>
        <w:t>.</w:t>
      </w:r>
    </w:p>
    <w:p w:rsidR="006329D8" w:rsidRPr="00A63463" w:rsidP="006329D8">
      <w:pPr>
        <w:pStyle w:val="SecondaryHeading-Numbered"/>
      </w:pPr>
      <w:r w:rsidRPr="00D73EE2">
        <w:rPr>
          <w:b w:val="0"/>
        </w:rPr>
        <w:t>Cath</w:t>
      </w:r>
      <w:r>
        <w:rPr>
          <w:b w:val="0"/>
        </w:rPr>
        <w:t>e</w:t>
      </w:r>
      <w:r w:rsidRPr="00D73EE2">
        <w:rPr>
          <w:b w:val="0"/>
        </w:rPr>
        <w:t>rine Tyler, Monitoring Analytics, will provide education on</w:t>
      </w:r>
      <w:r>
        <w:t xml:space="preserve"> </w:t>
      </w:r>
      <w:r w:rsidRPr="00D73EE2">
        <w:rPr>
          <w:b w:val="0"/>
        </w:rPr>
        <w:t xml:space="preserve">spin event definitions, performance, </w:t>
      </w:r>
      <w:r w:rsidR="00A63463">
        <w:rPr>
          <w:b w:val="0"/>
        </w:rPr>
        <w:t xml:space="preserve">and </w:t>
      </w:r>
      <w:bookmarkStart w:id="2" w:name="_GoBack"/>
      <w:bookmarkEnd w:id="2"/>
      <w:r w:rsidRPr="00D73EE2">
        <w:rPr>
          <w:b w:val="0"/>
        </w:rPr>
        <w:t>penalties</w:t>
      </w:r>
      <w:r>
        <w:rPr>
          <w:b w:val="0"/>
        </w:rPr>
        <w:t>.</w:t>
      </w:r>
    </w:p>
    <w:p w:rsidR="00A63463" w:rsidRPr="00A63463" w:rsidP="00A63463">
      <w:pPr>
        <w:pStyle w:val="SecondaryHeading-Numbered"/>
        <w:rPr>
          <w:b w:val="0"/>
        </w:rPr>
      </w:pPr>
      <w:r w:rsidRPr="00D73EE2">
        <w:rPr>
          <w:b w:val="0"/>
        </w:rPr>
        <w:t>Vijay Shah, PJM, will review previous Synchronous Reserve Deployment Task Force (SRDTF) work, PJM’s I</w:t>
      </w:r>
      <w:r>
        <w:rPr>
          <w:b w:val="0"/>
        </w:rPr>
        <w:t xml:space="preserve">ntelligent </w:t>
      </w:r>
      <w:r w:rsidRPr="00D73EE2">
        <w:rPr>
          <w:b w:val="0"/>
        </w:rPr>
        <w:t>R</w:t>
      </w:r>
      <w:r>
        <w:rPr>
          <w:b w:val="0"/>
        </w:rPr>
        <w:t xml:space="preserve">eserve </w:t>
      </w:r>
      <w:r w:rsidRPr="00D73EE2">
        <w:rPr>
          <w:b w:val="0"/>
        </w:rPr>
        <w:t>D</w:t>
      </w:r>
      <w:r>
        <w:rPr>
          <w:b w:val="0"/>
        </w:rPr>
        <w:t>eployment (IRD)</w:t>
      </w:r>
      <w:r w:rsidRPr="00D73EE2">
        <w:rPr>
          <w:b w:val="0"/>
        </w:rPr>
        <w:t xml:space="preserve"> FERC filing, and FERC’s </w:t>
      </w:r>
      <w:r>
        <w:rPr>
          <w:b w:val="0"/>
        </w:rPr>
        <w:t>o</w:t>
      </w:r>
      <w:r w:rsidRPr="00D73EE2">
        <w:rPr>
          <w:b w:val="0"/>
        </w:rPr>
        <w:t>rder on the IRD filing</w:t>
      </w:r>
      <w:r>
        <w:rPr>
          <w:b w:val="0"/>
        </w:rPr>
        <w:t>.</w:t>
      </w:r>
    </w:p>
    <w:p w:rsidR="00F92303" w:rsidRPr="00DB29E9" w:rsidP="00F92303">
      <w:pPr>
        <w:pStyle w:val="PrimaryHeading"/>
      </w:pPr>
      <w:r>
        <w:t>Future Agenda Items</w:t>
      </w:r>
      <w:r>
        <w:t xml:space="preserve"> </w:t>
      </w:r>
      <w:r>
        <w:t>(3:55-4:00</w:t>
      </w:r>
      <w:r>
        <w:t>)</w:t>
      </w:r>
    </w:p>
    <w:p w:rsidR="003C3320" w:rsidRPr="00412F31" w:rsidP="00412F31">
      <w:pPr>
        <w:pStyle w:val="SecondaryHeading-Numbered"/>
        <w:rPr>
          <w:b w:val="0"/>
        </w:rPr>
      </w:pPr>
      <w:r>
        <w:rPr>
          <w:b w:val="0"/>
        </w:rPr>
        <w:t>Lisa Mo</w:t>
      </w:r>
      <w:r w:rsidRPr="00412F31">
        <w:rPr>
          <w:b w:val="0"/>
        </w:rPr>
        <w:t>relli</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pPr>
              <w:pStyle w:val="DisclaimerHeading"/>
              <w:spacing w:before="40" w:after="40" w:line="220" w:lineRule="exact"/>
              <w:jc w:val="left"/>
              <w:rPr>
                <w:b w:val="0"/>
                <w:i w:val="0"/>
                <w:color w:val="auto"/>
                <w:sz w:val="18"/>
                <w:szCs w:val="18"/>
              </w:rPr>
            </w:pPr>
            <w:r>
              <w:rPr>
                <w:b w:val="0"/>
                <w:i w:val="0"/>
                <w:color w:val="auto"/>
                <w:sz w:val="18"/>
                <w:szCs w:val="18"/>
              </w:rPr>
              <w:t>November 27,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pPr>
              <w:pStyle w:val="AttendeesList"/>
              <w:spacing w:before="40" w:after="40" w:line="220" w:lineRule="exact"/>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November 21,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November 22, 2023</w:t>
            </w: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pPr>
              <w:pStyle w:val="DisclaimerHeading"/>
              <w:spacing w:before="40" w:after="40" w:line="220" w:lineRule="exact"/>
              <w:jc w:val="left"/>
              <w:rPr>
                <w:b w:val="0"/>
                <w:i w:val="0"/>
                <w:color w:val="auto"/>
                <w:sz w:val="18"/>
                <w:szCs w:val="18"/>
              </w:rPr>
            </w:pPr>
            <w:r>
              <w:rPr>
                <w:b w:val="0"/>
                <w:i w:val="0"/>
                <w:color w:val="auto"/>
                <w:sz w:val="18"/>
                <w:szCs w:val="18"/>
              </w:rPr>
              <w:t>December 12,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December 06,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December 07. 2023</w:t>
            </w:r>
          </w:p>
        </w:tc>
      </w:tr>
    </w:tbl>
    <w:p w:rsidR="003C3320" w:rsidP="003C3320">
      <w:pPr>
        <w:pStyle w:val="DisclaimerBodyCopy"/>
        <w:rPr>
          <w:sz w:val="24"/>
        </w:rPr>
      </w:pPr>
    </w:p>
    <w:p w:rsidR="00B62597" w:rsidP="00337321">
      <w:pPr>
        <w:pStyle w:val="Author"/>
      </w:pPr>
      <w:r>
        <w:t xml:space="preserve">Author: </w:t>
      </w:r>
      <w:r w:rsidR="00D57A65">
        <w:t>Amanda Egan</w:t>
      </w: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A1464B" w:rsidP="00FA5955">
      <w:pPr>
        <w:pStyle w:val="DisclaimerHeading"/>
        <w:spacing w:before="240"/>
      </w:pP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6346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3E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3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73EE2">
      <w:t>October 23,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3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6798D"/>
    <w:rsid w:val="00092135"/>
    <w:rsid w:val="00117AF9"/>
    <w:rsid w:val="00121F58"/>
    <w:rsid w:val="00125663"/>
    <w:rsid w:val="001302EC"/>
    <w:rsid w:val="00140910"/>
    <w:rsid w:val="001678E8"/>
    <w:rsid w:val="00170E02"/>
    <w:rsid w:val="0018302E"/>
    <w:rsid w:val="001B2242"/>
    <w:rsid w:val="001C0CC0"/>
    <w:rsid w:val="001D3B68"/>
    <w:rsid w:val="002104DA"/>
    <w:rsid w:val="002113BD"/>
    <w:rsid w:val="00214CEE"/>
    <w:rsid w:val="0025139E"/>
    <w:rsid w:val="002B2F98"/>
    <w:rsid w:val="002C6057"/>
    <w:rsid w:val="002D2017"/>
    <w:rsid w:val="00305238"/>
    <w:rsid w:val="003251CE"/>
    <w:rsid w:val="00337321"/>
    <w:rsid w:val="00344415"/>
    <w:rsid w:val="00375168"/>
    <w:rsid w:val="00394850"/>
    <w:rsid w:val="003B55E1"/>
    <w:rsid w:val="003B7186"/>
    <w:rsid w:val="003C17E2"/>
    <w:rsid w:val="003C3320"/>
    <w:rsid w:val="003D7E5C"/>
    <w:rsid w:val="003E7A73"/>
    <w:rsid w:val="00412F31"/>
    <w:rsid w:val="0046043F"/>
    <w:rsid w:val="00491490"/>
    <w:rsid w:val="00494494"/>
    <w:rsid w:val="004969FA"/>
    <w:rsid w:val="004C6472"/>
    <w:rsid w:val="005152C9"/>
    <w:rsid w:val="00527104"/>
    <w:rsid w:val="00564DEE"/>
    <w:rsid w:val="0057441E"/>
    <w:rsid w:val="0059108D"/>
    <w:rsid w:val="005A5D0D"/>
    <w:rsid w:val="005D5394"/>
    <w:rsid w:val="005D6D05"/>
    <w:rsid w:val="006024A0"/>
    <w:rsid w:val="00602967"/>
    <w:rsid w:val="00606F11"/>
    <w:rsid w:val="006329D8"/>
    <w:rsid w:val="00667EFE"/>
    <w:rsid w:val="006A2FCC"/>
    <w:rsid w:val="006C738F"/>
    <w:rsid w:val="006F7A52"/>
    <w:rsid w:val="007110D0"/>
    <w:rsid w:val="00711249"/>
    <w:rsid w:val="00712CAA"/>
    <w:rsid w:val="00716A8B"/>
    <w:rsid w:val="00730F76"/>
    <w:rsid w:val="00744A45"/>
    <w:rsid w:val="0075340F"/>
    <w:rsid w:val="00754C6D"/>
    <w:rsid w:val="00755096"/>
    <w:rsid w:val="007703B4"/>
    <w:rsid w:val="00777623"/>
    <w:rsid w:val="007A34A3"/>
    <w:rsid w:val="007C25A7"/>
    <w:rsid w:val="007C2954"/>
    <w:rsid w:val="007D4F70"/>
    <w:rsid w:val="007D5C34"/>
    <w:rsid w:val="007E7CAB"/>
    <w:rsid w:val="00837B12"/>
    <w:rsid w:val="00841282"/>
    <w:rsid w:val="008552A3"/>
    <w:rsid w:val="00856DF8"/>
    <w:rsid w:val="00880F1C"/>
    <w:rsid w:val="00882652"/>
    <w:rsid w:val="00917386"/>
    <w:rsid w:val="00936448"/>
    <w:rsid w:val="0097702E"/>
    <w:rsid w:val="00991528"/>
    <w:rsid w:val="009A5430"/>
    <w:rsid w:val="009C15C4"/>
    <w:rsid w:val="009F53F9"/>
    <w:rsid w:val="00A05391"/>
    <w:rsid w:val="00A1464B"/>
    <w:rsid w:val="00A317A9"/>
    <w:rsid w:val="00A41149"/>
    <w:rsid w:val="00A56D57"/>
    <w:rsid w:val="00A63463"/>
    <w:rsid w:val="00A931C3"/>
    <w:rsid w:val="00AA6C34"/>
    <w:rsid w:val="00AC2247"/>
    <w:rsid w:val="00AE3564"/>
    <w:rsid w:val="00B16D95"/>
    <w:rsid w:val="00B20316"/>
    <w:rsid w:val="00B34E3C"/>
    <w:rsid w:val="00B60094"/>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57A65"/>
    <w:rsid w:val="00D73EE2"/>
    <w:rsid w:val="00D831E4"/>
    <w:rsid w:val="00D95949"/>
    <w:rsid w:val="00DA23DE"/>
    <w:rsid w:val="00DA4EAC"/>
    <w:rsid w:val="00DB29E9"/>
    <w:rsid w:val="00DD5101"/>
    <w:rsid w:val="00DE34CF"/>
    <w:rsid w:val="00DF1112"/>
    <w:rsid w:val="00E1605D"/>
    <w:rsid w:val="00E32B6B"/>
    <w:rsid w:val="00E5387A"/>
    <w:rsid w:val="00E55E84"/>
    <w:rsid w:val="00E76083"/>
    <w:rsid w:val="00EB68B0"/>
    <w:rsid w:val="00F4190F"/>
    <w:rsid w:val="00F5077C"/>
    <w:rsid w:val="00F9230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177DE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