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pPr>
        <w:pStyle w:val="MeetingDetails"/>
        <w:rPr>
          <w:color w:val="FF0066"/>
        </w:rPr>
      </w:pPr>
      <w:bookmarkStart w:id="0" w:name="_GoBack"/>
      <w:bookmarkEnd w:id="0"/>
    </w:p>
    <w:p w:rsidR="00B62597" w:rsidRPr="00514B80" w:rsidP="00755096">
      <w:pPr>
        <w:pStyle w:val="MeetingDetails"/>
        <w:rPr>
          <w:color w:val="FF0066"/>
        </w:rPr>
      </w:pPr>
      <w:r>
        <w:t>Resource Adequacy Senior Task Force</w:t>
      </w:r>
    </w:p>
    <w:p w:rsidR="00B62597" w:rsidRPr="00B62597" w:rsidP="00755096">
      <w:pPr>
        <w:pStyle w:val="MeetingDetails"/>
      </w:pPr>
      <w:r>
        <w:t xml:space="preserve">WebEx Only </w:t>
      </w:r>
    </w:p>
    <w:p w:rsidR="00B62597" w:rsidRPr="00B62597" w:rsidP="00755096">
      <w:pPr>
        <w:pStyle w:val="MeetingDetails"/>
      </w:pPr>
      <w:r>
        <w:t xml:space="preserve">February </w:t>
      </w:r>
      <w:r w:rsidR="00FD0173">
        <w:t>28</w:t>
      </w:r>
      <w:r w:rsidR="009B7548">
        <w:t>,</w:t>
      </w:r>
      <w:r w:rsidR="00766A4D">
        <w:t xml:space="preserve"> 2022</w:t>
      </w:r>
    </w:p>
    <w:p w:rsidR="00B62597" w:rsidRPr="00B62597"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D83F11">
        <w:t>20</w:t>
      </w:r>
      <w:r w:rsidRPr="00527104">
        <w:t>)</w:t>
      </w:r>
    </w:p>
    <w:bookmarkEnd w:id="1"/>
    <w:bookmarkEnd w:id="2"/>
    <w:p w:rsidR="002C6057" w:rsidRPr="002C6057" w:rsidP="006A3416">
      <w:pPr>
        <w:pStyle w:val="SecondaryHeading-Numbered"/>
      </w:pPr>
      <w:r>
        <w:rPr>
          <w:b w:val="0"/>
        </w:rPr>
        <w:t>Dave Anders</w:t>
      </w:r>
      <w:r w:rsidRPr="006A3416" w:rsidR="006A3416">
        <w:rPr>
          <w:b w:val="0"/>
        </w:rPr>
        <w:t>, facilitator, and Alex Scheirer, secretary, will welcome participants, make announcements, and review the Antitrust, Code of Conduct, and Public Meetings/Media Participation Guidelines.</w:t>
      </w:r>
    </w:p>
    <w:p w:rsidR="00B62597" w:rsidP="0045223C">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00FD0173">
        <w:t>February 4</w:t>
      </w:r>
      <w:r w:rsidR="00687DE9">
        <w:t>, 2022</w:t>
      </w:r>
      <w:r w:rsidR="00FA460F">
        <w:t>,</w:t>
      </w:r>
      <w:r w:rsidR="00971E4A">
        <w:t xml:space="preserve"> RASTF meeting.</w:t>
      </w:r>
    </w:p>
    <w:p w:rsidR="00D1502F" w:rsidRPr="00D1502F" w:rsidP="0045223C">
      <w:pPr>
        <w:pStyle w:val="SecondaryHeading-Numbered"/>
        <w:numPr>
          <w:ilvl w:val="0"/>
          <w:numId w:val="0"/>
        </w:numPr>
        <w:rPr>
          <w:b w:val="0"/>
        </w:rPr>
      </w:pPr>
      <w:r>
        <w:rPr>
          <w:b w:val="0"/>
        </w:rPr>
        <w:t>Dave Anders, facilitator</w:t>
      </w:r>
      <w:r w:rsidRPr="00D1502F">
        <w:rPr>
          <w:b w:val="0"/>
        </w:rPr>
        <w:t xml:space="preserve">, will provide a brief update on activities of the other reliability services </w:t>
      </w:r>
      <w:r w:rsidR="00254A6E">
        <w:rPr>
          <w:b w:val="0"/>
        </w:rPr>
        <w:t xml:space="preserve">assessment at the OC, the Load Analysis Subcommittee, </w:t>
      </w:r>
      <w:r w:rsidRPr="00D1502F">
        <w:rPr>
          <w:b w:val="0"/>
        </w:rPr>
        <w:t xml:space="preserve">and the </w:t>
      </w:r>
      <w:r>
        <w:rPr>
          <w:b w:val="0"/>
        </w:rPr>
        <w:t>Q</w:t>
      </w:r>
      <w:r w:rsidRPr="00D1502F">
        <w:rPr>
          <w:b w:val="0"/>
        </w:rPr>
        <w:t xml:space="preserve">uadrennial </w:t>
      </w:r>
      <w:r>
        <w:rPr>
          <w:b w:val="0"/>
        </w:rPr>
        <w:t>R</w:t>
      </w:r>
      <w:r w:rsidRPr="00D1502F">
        <w:rPr>
          <w:b w:val="0"/>
        </w:rPr>
        <w:t>eview</w:t>
      </w:r>
      <w:r>
        <w:rPr>
          <w:b w:val="0"/>
        </w:rPr>
        <w:t xml:space="preserve"> MIC Special Sessions</w:t>
      </w:r>
      <w:r w:rsidRPr="00D1502F">
        <w:rPr>
          <w:b w:val="0"/>
        </w:rPr>
        <w:t xml:space="preserve">. </w:t>
      </w:r>
    </w:p>
    <w:p w:rsidR="008226DC" w:rsidRPr="008226DC" w:rsidP="008226DC">
      <w:pPr>
        <w:pStyle w:val="PrimaryHeading"/>
      </w:pPr>
      <w:r>
        <w:t>Education</w:t>
      </w:r>
      <w:r w:rsidR="009635F6">
        <w:t xml:space="preserve"> </w:t>
      </w:r>
      <w:r w:rsidR="00566CE3">
        <w:t xml:space="preserve">and CBIR </w:t>
      </w:r>
      <w:r w:rsidR="009635F6">
        <w:t>(</w:t>
      </w:r>
      <w:r>
        <w:t>9</w:t>
      </w:r>
      <w:r w:rsidR="001D3B68">
        <w:t>:</w:t>
      </w:r>
      <w:r w:rsidR="00D83F11">
        <w:t>20</w:t>
      </w:r>
      <w:r w:rsidR="006F6654">
        <w:t>:</w:t>
      </w:r>
      <w:r w:rsidR="00566CE3">
        <w:t>4</w:t>
      </w:r>
      <w:r w:rsidR="00D55BF4">
        <w:t>:</w:t>
      </w:r>
      <w:r w:rsidR="00566CE3">
        <w:t>0</w:t>
      </w:r>
      <w:r w:rsidR="00D55BF4">
        <w:t>0</w:t>
      </w:r>
      <w:r w:rsidR="001D3B68">
        <w:t>)</w:t>
      </w:r>
    </w:p>
    <w:p w:rsidR="002B1E89" w:rsidP="003015D9">
      <w:pPr>
        <w:pStyle w:val="SecondaryHeading-Numbered"/>
        <w:rPr>
          <w:b w:val="0"/>
          <w:u w:val="single"/>
        </w:rPr>
      </w:pPr>
      <w:r>
        <w:rPr>
          <w:b w:val="0"/>
          <w:u w:val="single"/>
        </w:rPr>
        <w:t xml:space="preserve">Supply-Side Market Power Mitigation Rules </w:t>
      </w:r>
      <w:r>
        <w:rPr>
          <w:b w:val="0"/>
          <w:u w:val="single"/>
        </w:rPr>
        <w:t xml:space="preserve">- </w:t>
      </w:r>
      <w:r w:rsidRPr="002B1E89">
        <w:rPr>
          <w:b w:val="0"/>
          <w:u w:val="single"/>
        </w:rPr>
        <w:t xml:space="preserve">Key Work Activity </w:t>
      </w:r>
      <w:r w:rsidR="00687DE9">
        <w:rPr>
          <w:b w:val="0"/>
          <w:u w:val="single"/>
        </w:rPr>
        <w:t xml:space="preserve">#9 </w:t>
      </w:r>
      <w:r w:rsidR="00D83F11">
        <w:rPr>
          <w:b w:val="0"/>
          <w:u w:val="single"/>
        </w:rPr>
        <w:t>(</w:t>
      </w:r>
      <w:r w:rsidR="0073631F">
        <w:rPr>
          <w:b w:val="0"/>
          <w:u w:val="single"/>
        </w:rPr>
        <w:t>9</w:t>
      </w:r>
      <w:r w:rsidR="00D83F11">
        <w:rPr>
          <w:b w:val="0"/>
          <w:u w:val="single"/>
        </w:rPr>
        <w:t>:</w:t>
      </w:r>
      <w:r w:rsidR="0073631F">
        <w:rPr>
          <w:b w:val="0"/>
          <w:u w:val="single"/>
        </w:rPr>
        <w:t>20</w:t>
      </w:r>
      <w:r w:rsidR="00D83F11">
        <w:rPr>
          <w:b w:val="0"/>
          <w:u w:val="single"/>
        </w:rPr>
        <w:t xml:space="preserve"> – </w:t>
      </w:r>
      <w:r w:rsidR="00EF16B8">
        <w:rPr>
          <w:b w:val="0"/>
          <w:u w:val="single"/>
        </w:rPr>
        <w:t>1</w:t>
      </w:r>
      <w:r w:rsidR="0081511B">
        <w:rPr>
          <w:b w:val="0"/>
          <w:u w:val="single"/>
        </w:rPr>
        <w:t>:00</w:t>
      </w:r>
      <w:r w:rsidR="00D83F11">
        <w:rPr>
          <w:b w:val="0"/>
          <w:u w:val="single"/>
        </w:rPr>
        <w:t>)</w:t>
      </w:r>
    </w:p>
    <w:p w:rsidR="008A0D28" w:rsidP="008A0D28">
      <w:pPr>
        <w:pStyle w:val="SecondaryHeading-Numbered"/>
        <w:numPr>
          <w:ilvl w:val="0"/>
          <w:numId w:val="14"/>
        </w:numPr>
        <w:rPr>
          <w:b w:val="0"/>
        </w:rPr>
      </w:pPr>
      <w:r w:rsidRPr="00890226">
        <w:rPr>
          <w:b w:val="0"/>
        </w:rPr>
        <w:t xml:space="preserve">Pat Bruno, PJM, will </w:t>
      </w:r>
      <w:r w:rsidR="00964679">
        <w:rPr>
          <w:b w:val="0"/>
        </w:rPr>
        <w:t>review</w:t>
      </w:r>
      <w:r w:rsidR="002432C5">
        <w:rPr>
          <w:b w:val="0"/>
        </w:rPr>
        <w:t xml:space="preserve"> various </w:t>
      </w:r>
      <w:r w:rsidR="004A27DD">
        <w:rPr>
          <w:b w:val="0"/>
        </w:rPr>
        <w:t xml:space="preserve">MSOC </w:t>
      </w:r>
      <w:r w:rsidR="001C3996">
        <w:rPr>
          <w:b w:val="0"/>
        </w:rPr>
        <w:t>options for consideration</w:t>
      </w:r>
      <w:r w:rsidR="004A27DD">
        <w:rPr>
          <w:b w:val="0"/>
        </w:rPr>
        <w:t xml:space="preserve">. </w:t>
      </w:r>
    </w:p>
    <w:p w:rsidR="00202C16" w:rsidRPr="008A0D28" w:rsidP="008A0D28">
      <w:pPr>
        <w:pStyle w:val="SecondaryHeading-Numbered"/>
        <w:numPr>
          <w:ilvl w:val="0"/>
          <w:numId w:val="14"/>
        </w:numPr>
        <w:rPr>
          <w:rStyle w:val="Hyperlink"/>
          <w:b w:val="0"/>
          <w:color w:val="auto"/>
          <w:u w:val="none"/>
        </w:rPr>
      </w:pPr>
      <w:r w:rsidRPr="008A0D28">
        <w:rPr>
          <w:b w:val="0"/>
          <w:color w:val="000000" w:themeColor="text1"/>
        </w:rPr>
        <w:t xml:space="preserve">Matrix Development </w:t>
      </w:r>
      <w:r w:rsidRPr="008A0D28" w:rsidR="003D678B">
        <w:rPr>
          <w:b w:val="0"/>
        </w:rPr>
        <w:t>–</w:t>
      </w:r>
      <w:r w:rsidRPr="008A0D28">
        <w:rPr>
          <w:b w:val="0"/>
          <w:color w:val="000000" w:themeColor="text1"/>
        </w:rPr>
        <w:t xml:space="preserve"> </w:t>
      </w:r>
      <w:r w:rsidR="00B17B4D">
        <w:rPr>
          <w:b w:val="0"/>
          <w:color w:val="000000" w:themeColor="text1"/>
        </w:rPr>
        <w:t>Interest</w:t>
      </w:r>
      <w:r w:rsidRPr="008A0D28" w:rsidR="007C25B0">
        <w:rPr>
          <w:b w:val="0"/>
          <w:color w:val="000000" w:themeColor="text1"/>
        </w:rPr>
        <w:t xml:space="preserve"> Identification, </w:t>
      </w:r>
      <w:r w:rsidRPr="008A0D28" w:rsidR="00053FD4">
        <w:rPr>
          <w:b w:val="0"/>
          <w:color w:val="000000" w:themeColor="text1"/>
        </w:rPr>
        <w:t>Design Components</w:t>
      </w:r>
      <w:r w:rsidRPr="008A0D28" w:rsidR="007C25B0">
        <w:rPr>
          <w:b w:val="0"/>
          <w:color w:val="000000" w:themeColor="text1"/>
        </w:rPr>
        <w:t xml:space="preserve">, and Options </w:t>
      </w:r>
      <w:r w:rsidRPr="008A0D28" w:rsidR="007C25B0">
        <w:rPr>
          <w:b w:val="0"/>
        </w:rPr>
        <w:t>–</w:t>
      </w:r>
      <w:r w:rsidRPr="008A0D28" w:rsidR="007C25B0">
        <w:rPr>
          <w:b w:val="0"/>
          <w:color w:val="000000" w:themeColor="text1"/>
        </w:rPr>
        <w:t xml:space="preserve"> </w:t>
      </w:r>
      <w:r w:rsidRPr="008A0D28">
        <w:rPr>
          <w:b w:val="0"/>
          <w:color w:val="000000" w:themeColor="text1"/>
        </w:rPr>
        <w:t xml:space="preserve">Dave Anders, </w:t>
      </w:r>
      <w:r w:rsidRPr="008A0D28" w:rsidR="00203E75">
        <w:rPr>
          <w:b w:val="0"/>
          <w:color w:val="000000" w:themeColor="text1"/>
        </w:rPr>
        <w:t>f</w:t>
      </w:r>
      <w:r w:rsidRPr="008A0D28">
        <w:rPr>
          <w:b w:val="0"/>
          <w:color w:val="000000" w:themeColor="text1"/>
        </w:rPr>
        <w:t>ac</w:t>
      </w:r>
      <w:r w:rsidRPr="008A0D28" w:rsidR="00D15319">
        <w:rPr>
          <w:b w:val="0"/>
          <w:color w:val="000000" w:themeColor="text1"/>
        </w:rPr>
        <w:t>ilitator, will lead a discussion to</w:t>
      </w:r>
      <w:r w:rsidRPr="008A0D28">
        <w:rPr>
          <w:b w:val="0"/>
          <w:color w:val="000000" w:themeColor="text1"/>
        </w:rPr>
        <w:t xml:space="preserve"> </w:t>
      </w:r>
      <w:r w:rsidRPr="008A0D28" w:rsidR="00714147">
        <w:rPr>
          <w:b w:val="0"/>
          <w:color w:val="000000" w:themeColor="text1"/>
        </w:rPr>
        <w:t>continue the</w:t>
      </w:r>
      <w:r w:rsidRPr="008A0D28">
        <w:rPr>
          <w:b w:val="0"/>
          <w:color w:val="000000" w:themeColor="text1"/>
        </w:rPr>
        <w:t xml:space="preserve"> Consensus Based Issue Resolution </w:t>
      </w:r>
      <w:r w:rsidRPr="008A0D28" w:rsidR="00714147">
        <w:rPr>
          <w:b w:val="0"/>
          <w:color w:val="000000" w:themeColor="text1"/>
        </w:rPr>
        <w:t>p</w:t>
      </w:r>
      <w:r w:rsidRPr="008A0D28">
        <w:rPr>
          <w:b w:val="0"/>
          <w:color w:val="000000" w:themeColor="text1"/>
        </w:rPr>
        <w:t xml:space="preserve">rocess. The </w:t>
      </w:r>
      <w:r w:rsidRPr="008A0D28" w:rsidR="00714147">
        <w:rPr>
          <w:b w:val="0"/>
          <w:color w:val="000000" w:themeColor="text1"/>
        </w:rPr>
        <w:t xml:space="preserve">Senior </w:t>
      </w:r>
      <w:r w:rsidRPr="008A0D28">
        <w:rPr>
          <w:b w:val="0"/>
          <w:color w:val="000000" w:themeColor="text1"/>
        </w:rPr>
        <w:t>Task Force wi</w:t>
      </w:r>
      <w:r w:rsidRPr="008A0D28" w:rsidR="00053FD4">
        <w:rPr>
          <w:b w:val="0"/>
          <w:color w:val="000000" w:themeColor="text1"/>
        </w:rPr>
        <w:t xml:space="preserve">ll be asked to provide </w:t>
      </w:r>
      <w:r w:rsidRPr="008A0D28" w:rsidR="00387428">
        <w:rPr>
          <w:b w:val="0"/>
          <w:color w:val="000000" w:themeColor="text1"/>
        </w:rPr>
        <w:t xml:space="preserve">interests, </w:t>
      </w:r>
      <w:r w:rsidRPr="008A0D28" w:rsidR="00053FD4">
        <w:rPr>
          <w:b w:val="0"/>
          <w:color w:val="000000" w:themeColor="text1"/>
        </w:rPr>
        <w:t>design components</w:t>
      </w:r>
      <w:r w:rsidRPr="008A0D28" w:rsidR="00387428">
        <w:rPr>
          <w:b w:val="0"/>
          <w:color w:val="000000" w:themeColor="text1"/>
        </w:rPr>
        <w:t>,</w:t>
      </w:r>
      <w:r w:rsidRPr="008A0D28" w:rsidR="00053FD4">
        <w:rPr>
          <w:b w:val="0"/>
          <w:color w:val="000000" w:themeColor="text1"/>
        </w:rPr>
        <w:t xml:space="preserve"> and options</w:t>
      </w:r>
      <w:r w:rsidRPr="008A0D28">
        <w:rPr>
          <w:b w:val="0"/>
          <w:color w:val="000000" w:themeColor="text1"/>
        </w:rPr>
        <w:t xml:space="preserve"> on Market Seller Offer Cap (MSOC). For more information about the CBIR process, please refer to </w:t>
      </w:r>
      <w:hyperlink r:id="rId5" w:history="1">
        <w:r w:rsidRPr="008A0D28" w:rsidR="00FA460F">
          <w:rPr>
            <w:rStyle w:val="Hyperlink"/>
            <w:b w:val="0"/>
          </w:rPr>
          <w:t>Manual 34 Section 7.</w:t>
        </w:r>
      </w:hyperlink>
    </w:p>
    <w:p w:rsidR="004A27DD" w:rsidP="000E7CFA">
      <w:pPr>
        <w:pStyle w:val="SecondaryHeading-Numbered"/>
        <w:numPr>
          <w:ilvl w:val="0"/>
          <w:numId w:val="14"/>
        </w:numPr>
        <w:rPr>
          <w:b w:val="0"/>
          <w:color w:val="000000" w:themeColor="text1"/>
        </w:rPr>
      </w:pPr>
      <w:r>
        <w:rPr>
          <w:b w:val="0"/>
          <w:color w:val="000000" w:themeColor="text1"/>
        </w:rPr>
        <w:t>Dave Anders</w:t>
      </w:r>
      <w:r w:rsidR="00220537">
        <w:rPr>
          <w:b w:val="0"/>
          <w:color w:val="000000" w:themeColor="text1"/>
        </w:rPr>
        <w:t xml:space="preserve">, facilitator, </w:t>
      </w:r>
      <w:r>
        <w:rPr>
          <w:b w:val="0"/>
          <w:color w:val="000000" w:themeColor="text1"/>
        </w:rPr>
        <w:t>and Pat Bruno</w:t>
      </w:r>
      <w:r w:rsidR="00220537">
        <w:rPr>
          <w:b w:val="0"/>
          <w:color w:val="000000" w:themeColor="text1"/>
        </w:rPr>
        <w:t xml:space="preserve">, PJM, </w:t>
      </w:r>
      <w:r>
        <w:rPr>
          <w:b w:val="0"/>
          <w:color w:val="000000" w:themeColor="text1"/>
        </w:rPr>
        <w:t xml:space="preserve">will present </w:t>
      </w:r>
      <w:r w:rsidR="00220537">
        <w:rPr>
          <w:b w:val="0"/>
          <w:color w:val="000000" w:themeColor="text1"/>
        </w:rPr>
        <w:t xml:space="preserve">draft </w:t>
      </w:r>
      <w:r>
        <w:rPr>
          <w:b w:val="0"/>
          <w:color w:val="000000" w:themeColor="text1"/>
        </w:rPr>
        <w:t xml:space="preserve">poll questions to gather stakeholder feedback on the Energy and Ancillary Services (E&amp;AS) offset. </w:t>
      </w:r>
    </w:p>
    <w:p w:rsidR="00567020" w:rsidRPr="001A5221" w:rsidP="00B92613">
      <w:pPr>
        <w:pStyle w:val="SecondaryHeading-Numbered"/>
        <w:numPr>
          <w:ilvl w:val="0"/>
          <w:numId w:val="0"/>
        </w:numPr>
        <w:ind w:left="360"/>
        <w:rPr>
          <w:b w:val="0"/>
          <w:i/>
          <w:color w:val="000000" w:themeColor="text1"/>
        </w:rPr>
      </w:pPr>
      <w:r w:rsidRPr="001A5221">
        <w:rPr>
          <w:b w:val="0"/>
          <w:i/>
          <w:color w:val="000000" w:themeColor="text1"/>
        </w:rPr>
        <w:t xml:space="preserve">Lunch </w:t>
      </w:r>
      <w:r w:rsidR="0081511B">
        <w:rPr>
          <w:b w:val="0"/>
          <w:i/>
          <w:color w:val="000000" w:themeColor="text1"/>
        </w:rPr>
        <w:t>1:00-</w:t>
      </w:r>
      <w:r w:rsidR="00A51AFB">
        <w:rPr>
          <w:b w:val="0"/>
          <w:i/>
          <w:color w:val="000000" w:themeColor="text1"/>
        </w:rPr>
        <w:t>1</w:t>
      </w:r>
      <w:r w:rsidR="001C3996">
        <w:rPr>
          <w:b w:val="0"/>
          <w:i/>
          <w:color w:val="000000" w:themeColor="text1"/>
        </w:rPr>
        <w:t>:</w:t>
      </w:r>
      <w:r w:rsidR="0081511B">
        <w:rPr>
          <w:b w:val="0"/>
          <w:i/>
          <w:color w:val="000000" w:themeColor="text1"/>
        </w:rPr>
        <w:t>30</w:t>
      </w:r>
    </w:p>
    <w:p w:rsidR="0073631F" w:rsidRPr="002B1E89" w:rsidP="0073631F">
      <w:pPr>
        <w:pStyle w:val="SecondaryHeading-Numbered"/>
        <w:rPr>
          <w:b w:val="0"/>
          <w:u w:val="single"/>
        </w:rPr>
      </w:pPr>
      <w:r w:rsidRPr="002B1E89">
        <w:rPr>
          <w:b w:val="0"/>
          <w:u w:val="single"/>
        </w:rPr>
        <w:t xml:space="preserve">Clean Procurement </w:t>
      </w:r>
      <w:r>
        <w:rPr>
          <w:b w:val="0"/>
          <w:u w:val="single"/>
        </w:rPr>
        <w:t xml:space="preserve">- </w:t>
      </w:r>
      <w:r w:rsidRPr="002B1E89">
        <w:rPr>
          <w:b w:val="0"/>
          <w:u w:val="single"/>
        </w:rPr>
        <w:t>Key Work Activity #1</w:t>
      </w:r>
      <w:r>
        <w:rPr>
          <w:b w:val="0"/>
          <w:u w:val="single"/>
        </w:rPr>
        <w:t xml:space="preserve"> (</w:t>
      </w:r>
      <w:r w:rsidR="00E61A2B">
        <w:rPr>
          <w:b w:val="0"/>
          <w:u w:val="single"/>
        </w:rPr>
        <w:t>1:</w:t>
      </w:r>
      <w:r w:rsidR="0081511B">
        <w:rPr>
          <w:b w:val="0"/>
          <w:u w:val="single"/>
        </w:rPr>
        <w:t>3</w:t>
      </w:r>
      <w:r w:rsidR="000E7F4F">
        <w:rPr>
          <w:b w:val="0"/>
          <w:u w:val="single"/>
        </w:rPr>
        <w:t>0</w:t>
      </w:r>
      <w:r>
        <w:rPr>
          <w:b w:val="0"/>
          <w:u w:val="single"/>
        </w:rPr>
        <w:t xml:space="preserve">- </w:t>
      </w:r>
      <w:r w:rsidR="00787A32">
        <w:rPr>
          <w:b w:val="0"/>
          <w:u w:val="single"/>
        </w:rPr>
        <w:t>2</w:t>
      </w:r>
      <w:r w:rsidR="007B4CBA">
        <w:rPr>
          <w:b w:val="0"/>
          <w:u w:val="single"/>
        </w:rPr>
        <w:t>:</w:t>
      </w:r>
      <w:r w:rsidR="00914ECE">
        <w:rPr>
          <w:b w:val="0"/>
          <w:u w:val="single"/>
        </w:rPr>
        <w:t>1</w:t>
      </w:r>
      <w:r w:rsidR="00752E02">
        <w:rPr>
          <w:b w:val="0"/>
          <w:u w:val="single"/>
        </w:rPr>
        <w:t>5</w:t>
      </w:r>
      <w:r>
        <w:rPr>
          <w:b w:val="0"/>
          <w:u w:val="single"/>
        </w:rPr>
        <w:t>)</w:t>
      </w:r>
    </w:p>
    <w:p w:rsidR="002D3E15" w:rsidRPr="002D3E15" w:rsidP="000E7CFA">
      <w:pPr>
        <w:pStyle w:val="ListSubhead1"/>
        <w:numPr>
          <w:ilvl w:val="0"/>
          <w:numId w:val="15"/>
        </w:numPr>
        <w:rPr>
          <w:b w:val="0"/>
        </w:rPr>
      </w:pPr>
      <w:r>
        <w:rPr>
          <w:b w:val="0"/>
        </w:rPr>
        <w:t>Walter Graf,</w:t>
      </w:r>
      <w:r w:rsidRPr="002D3E15">
        <w:rPr>
          <w:b w:val="0"/>
        </w:rPr>
        <w:t xml:space="preserve"> PJM, will provide perspectives on Clean Procurement.</w:t>
      </w:r>
    </w:p>
    <w:p w:rsidR="0073631F" w:rsidP="000E7CFA">
      <w:pPr>
        <w:pStyle w:val="SecondaryHeading-Numbered"/>
        <w:numPr>
          <w:ilvl w:val="0"/>
          <w:numId w:val="15"/>
        </w:numPr>
        <w:rPr>
          <w:b w:val="0"/>
        </w:rPr>
      </w:pPr>
      <w:r>
        <w:rPr>
          <w:b w:val="0"/>
        </w:rPr>
        <w:t>Melissa Alfano</w:t>
      </w:r>
      <w:r w:rsidR="00991B4F">
        <w:rPr>
          <w:b w:val="0"/>
        </w:rPr>
        <w:t>,</w:t>
      </w:r>
      <w:r w:rsidR="00226E86">
        <w:rPr>
          <w:b w:val="0"/>
        </w:rPr>
        <w:t xml:space="preserve"> SEIA on behalf of SEIA, AEE and </w:t>
      </w:r>
      <w:r w:rsidR="00712C31">
        <w:rPr>
          <w:b w:val="0"/>
        </w:rPr>
        <w:t>ACP</w:t>
      </w:r>
      <w:r w:rsidR="00226E86">
        <w:rPr>
          <w:b w:val="0"/>
        </w:rPr>
        <w:t xml:space="preserve">, </w:t>
      </w:r>
      <w:r w:rsidR="00991B4F">
        <w:rPr>
          <w:b w:val="0"/>
        </w:rPr>
        <w:t>will provide perspectives on Clean Procurement</w:t>
      </w:r>
      <w:r w:rsidR="004462AF">
        <w:rPr>
          <w:b w:val="0"/>
        </w:rPr>
        <w:t>.</w:t>
      </w:r>
    </w:p>
    <w:p w:rsidR="008237B9" w:rsidP="000E7CFA">
      <w:pPr>
        <w:pStyle w:val="SecondaryHeading-Numbered"/>
        <w:numPr>
          <w:ilvl w:val="0"/>
          <w:numId w:val="15"/>
        </w:numPr>
        <w:rPr>
          <w:b w:val="0"/>
        </w:rPr>
      </w:pPr>
      <w:r>
        <w:rPr>
          <w:b w:val="0"/>
        </w:rPr>
        <w:t>Dave Ander</w:t>
      </w:r>
      <w:r w:rsidR="008B61AE">
        <w:rPr>
          <w:b w:val="0"/>
        </w:rPr>
        <w:t>s, facilitator, will discuss</w:t>
      </w:r>
      <w:r>
        <w:rPr>
          <w:b w:val="0"/>
        </w:rPr>
        <w:t xml:space="preserve"> </w:t>
      </w:r>
      <w:r w:rsidR="008B61AE">
        <w:rPr>
          <w:b w:val="0"/>
        </w:rPr>
        <w:t>next steps</w:t>
      </w:r>
      <w:r>
        <w:rPr>
          <w:b w:val="0"/>
        </w:rPr>
        <w:t xml:space="preserve"> for this Key Work Activity. </w:t>
      </w:r>
    </w:p>
    <w:p w:rsidR="00567020" w:rsidP="00787A32">
      <w:pPr>
        <w:pStyle w:val="SecondaryHeading-Numbered"/>
        <w:rPr>
          <w:b w:val="0"/>
          <w:u w:val="single"/>
        </w:rPr>
      </w:pPr>
      <w:r w:rsidRPr="00DF2D47">
        <w:rPr>
          <w:b w:val="0"/>
          <w:u w:val="single"/>
        </w:rPr>
        <w:t xml:space="preserve">Reliability Risks and Drivers - Key Work Activity #2 </w:t>
      </w:r>
      <w:r w:rsidR="00C82AB3">
        <w:rPr>
          <w:b w:val="0"/>
          <w:u w:val="single"/>
        </w:rPr>
        <w:t xml:space="preserve"> </w:t>
      </w:r>
      <w:r w:rsidR="00787A32">
        <w:rPr>
          <w:b w:val="0"/>
          <w:u w:val="single"/>
        </w:rPr>
        <w:t>(2:</w:t>
      </w:r>
      <w:r w:rsidR="00914ECE">
        <w:rPr>
          <w:b w:val="0"/>
          <w:u w:val="single"/>
        </w:rPr>
        <w:t>1</w:t>
      </w:r>
      <w:r w:rsidR="00752E02">
        <w:rPr>
          <w:b w:val="0"/>
          <w:u w:val="single"/>
        </w:rPr>
        <w:t>5</w:t>
      </w:r>
      <w:r w:rsidR="00EF16B8">
        <w:rPr>
          <w:b w:val="0"/>
          <w:u w:val="single"/>
        </w:rPr>
        <w:t>-</w:t>
      </w:r>
      <w:r w:rsidR="00787A32">
        <w:rPr>
          <w:b w:val="0"/>
          <w:u w:val="single"/>
        </w:rPr>
        <w:t>3:</w:t>
      </w:r>
      <w:r w:rsidR="00707309">
        <w:rPr>
          <w:b w:val="0"/>
          <w:u w:val="single"/>
        </w:rPr>
        <w:t>2</w:t>
      </w:r>
      <w:r w:rsidR="005A7217">
        <w:rPr>
          <w:b w:val="0"/>
          <w:u w:val="single"/>
        </w:rPr>
        <w:t>5</w:t>
      </w:r>
      <w:r w:rsidR="00787A32">
        <w:rPr>
          <w:b w:val="0"/>
          <w:u w:val="single"/>
        </w:rPr>
        <w:t>)</w:t>
      </w:r>
    </w:p>
    <w:p w:rsidR="00A553C1" w:rsidP="00A553C1">
      <w:pPr>
        <w:pStyle w:val="SecondaryHeading-Numbered"/>
        <w:numPr>
          <w:ilvl w:val="0"/>
          <w:numId w:val="16"/>
        </w:numPr>
        <w:rPr>
          <w:b w:val="0"/>
          <w:color w:val="000000" w:themeColor="text1"/>
        </w:rPr>
      </w:pPr>
      <w:r>
        <w:rPr>
          <w:b w:val="0"/>
          <w:color w:val="000000" w:themeColor="text1"/>
        </w:rPr>
        <w:t xml:space="preserve">Jim Wilson, Wilson Energy Economics, </w:t>
      </w:r>
      <w:r>
        <w:rPr>
          <w:b w:val="0"/>
          <w:color w:val="000000" w:themeColor="text1"/>
        </w:rPr>
        <w:t xml:space="preserve">will provide perspectives on reliability risks and drivers. </w:t>
      </w:r>
    </w:p>
    <w:p w:rsidR="00A553C1" w:rsidP="00A553C1">
      <w:pPr>
        <w:pStyle w:val="SecondaryHeading-Numbered"/>
        <w:numPr>
          <w:ilvl w:val="0"/>
          <w:numId w:val="16"/>
        </w:numPr>
        <w:rPr>
          <w:b w:val="0"/>
          <w:color w:val="000000" w:themeColor="text1"/>
        </w:rPr>
      </w:pPr>
      <w:r>
        <w:rPr>
          <w:b w:val="0"/>
          <w:color w:val="000000" w:themeColor="text1"/>
        </w:rPr>
        <w:t xml:space="preserve">Brian Kauffman, Enel, will provide </w:t>
      </w:r>
      <w:r w:rsidRPr="00EF16B8">
        <w:rPr>
          <w:b w:val="0"/>
          <w:color w:val="000000" w:themeColor="text1"/>
        </w:rPr>
        <w:t xml:space="preserve">perspectives on reliability risks and </w:t>
      </w:r>
      <w:r>
        <w:rPr>
          <w:b w:val="0"/>
          <w:color w:val="000000" w:themeColor="text1"/>
        </w:rPr>
        <w:t xml:space="preserve">drivers. </w:t>
      </w:r>
    </w:p>
    <w:p w:rsidR="00A553C1" w:rsidRPr="00830E83" w:rsidP="00A553C1">
      <w:pPr>
        <w:pStyle w:val="SecondaryHeading-Numbered"/>
        <w:numPr>
          <w:ilvl w:val="0"/>
          <w:numId w:val="16"/>
        </w:numPr>
        <w:rPr>
          <w:color w:val="000000" w:themeColor="text1"/>
        </w:rPr>
      </w:pPr>
      <w:r>
        <w:rPr>
          <w:b w:val="0"/>
          <w:color w:val="000000" w:themeColor="text1"/>
        </w:rPr>
        <w:t xml:space="preserve">Kevin Carden, Astrape Consulting, will provide </w:t>
      </w:r>
      <w:r w:rsidRPr="00EF16B8">
        <w:rPr>
          <w:b w:val="0"/>
          <w:color w:val="000000" w:themeColor="text1"/>
        </w:rPr>
        <w:t xml:space="preserve">perspectives on reliability risks and </w:t>
      </w:r>
      <w:r>
        <w:rPr>
          <w:b w:val="0"/>
          <w:color w:val="000000" w:themeColor="text1"/>
        </w:rPr>
        <w:t xml:space="preserve">drivers. </w:t>
      </w:r>
    </w:p>
    <w:p w:rsidR="00A553C1" w:rsidRPr="00A553C1" w:rsidP="00A553C1">
      <w:pPr>
        <w:pStyle w:val="SecondaryHeading-Numbered"/>
        <w:numPr>
          <w:ilvl w:val="0"/>
          <w:numId w:val="16"/>
        </w:numPr>
        <w:rPr>
          <w:b w:val="0"/>
          <w:color w:val="000000" w:themeColor="text1"/>
        </w:rPr>
      </w:pPr>
      <w:r>
        <w:rPr>
          <w:b w:val="0"/>
          <w:color w:val="000000" w:themeColor="text1"/>
        </w:rPr>
        <w:t xml:space="preserve">Matrix Development - </w:t>
      </w:r>
      <w:r w:rsidRPr="00202C16">
        <w:rPr>
          <w:b w:val="0"/>
          <w:color w:val="000000" w:themeColor="text1"/>
        </w:rPr>
        <w:t>Interest Identification</w:t>
      </w:r>
      <w:r w:rsidR="008359A0">
        <w:rPr>
          <w:b w:val="0"/>
          <w:color w:val="000000" w:themeColor="text1"/>
        </w:rPr>
        <w:t xml:space="preserve"> and Design Components</w:t>
      </w:r>
      <w:r w:rsidRPr="00202C16">
        <w:rPr>
          <w:b w:val="0"/>
          <w:color w:val="000000" w:themeColor="text1"/>
        </w:rPr>
        <w:t xml:space="preserve">, Dave Anders, </w:t>
      </w:r>
      <w:r>
        <w:rPr>
          <w:b w:val="0"/>
          <w:color w:val="000000" w:themeColor="text1"/>
        </w:rPr>
        <w:t>f</w:t>
      </w:r>
      <w:r w:rsidRPr="00202C16">
        <w:rPr>
          <w:b w:val="0"/>
          <w:color w:val="000000" w:themeColor="text1"/>
        </w:rPr>
        <w:t>ac</w:t>
      </w:r>
      <w:r>
        <w:rPr>
          <w:b w:val="0"/>
          <w:color w:val="000000" w:themeColor="text1"/>
        </w:rPr>
        <w:t>ilitator, will lead a discussion to</w:t>
      </w:r>
      <w:r w:rsidRPr="00202C16">
        <w:rPr>
          <w:b w:val="0"/>
          <w:color w:val="000000" w:themeColor="text1"/>
        </w:rPr>
        <w:t xml:space="preserve"> begin the Consensus Based Issue Resolution Process. The </w:t>
      </w:r>
      <w:r>
        <w:rPr>
          <w:b w:val="0"/>
          <w:color w:val="000000" w:themeColor="text1"/>
        </w:rPr>
        <w:t xml:space="preserve">Senior </w:t>
      </w:r>
      <w:r w:rsidRPr="00202C16">
        <w:rPr>
          <w:b w:val="0"/>
          <w:color w:val="000000" w:themeColor="text1"/>
        </w:rPr>
        <w:t xml:space="preserve">Task Force will be asked to provide interests </w:t>
      </w:r>
      <w:r w:rsidR="008359A0">
        <w:rPr>
          <w:b w:val="0"/>
          <w:color w:val="000000" w:themeColor="text1"/>
        </w:rPr>
        <w:t xml:space="preserve">and design components </w:t>
      </w:r>
      <w:r w:rsidRPr="00202C16">
        <w:rPr>
          <w:b w:val="0"/>
          <w:color w:val="000000" w:themeColor="text1"/>
        </w:rPr>
        <w:t xml:space="preserve">on </w:t>
      </w:r>
      <w:r>
        <w:rPr>
          <w:b w:val="0"/>
          <w:color w:val="000000" w:themeColor="text1"/>
        </w:rPr>
        <w:t xml:space="preserve">reliability risks and drivers. </w:t>
      </w:r>
      <w:r w:rsidRPr="00202C16">
        <w:rPr>
          <w:b w:val="0"/>
          <w:color w:val="000000" w:themeColor="text1"/>
        </w:rPr>
        <w:t xml:space="preserve">For more information about the CBIR process, please refer to </w:t>
      </w:r>
      <w:hyperlink r:id="rId5" w:history="1">
        <w:r w:rsidRPr="006A30F6">
          <w:rPr>
            <w:rStyle w:val="Hyperlink"/>
            <w:b w:val="0"/>
          </w:rPr>
          <w:t>Manual 34 Section 7.</w:t>
        </w:r>
      </w:hyperlink>
    </w:p>
    <w:p w:rsidR="00291693" w:rsidRPr="00A553C1" w:rsidP="00A553C1">
      <w:pPr>
        <w:pStyle w:val="SecondaryHeading-Numbered"/>
        <w:rPr>
          <w:b w:val="0"/>
          <w:u w:val="single"/>
        </w:rPr>
      </w:pPr>
      <w:r w:rsidRPr="00A553C1">
        <w:rPr>
          <w:b w:val="0"/>
          <w:u w:val="single"/>
        </w:rPr>
        <w:t>Procurement Metric and Level - Key Work Activity #3 (</w:t>
      </w:r>
      <w:r w:rsidRPr="00A553C1" w:rsidR="00C82AB3">
        <w:rPr>
          <w:b w:val="0"/>
          <w:u w:val="single"/>
        </w:rPr>
        <w:t>3:</w:t>
      </w:r>
      <w:r w:rsidR="00707309">
        <w:rPr>
          <w:b w:val="0"/>
          <w:u w:val="single"/>
        </w:rPr>
        <w:t>2</w:t>
      </w:r>
      <w:r w:rsidRPr="00A553C1" w:rsidR="00E31041">
        <w:rPr>
          <w:b w:val="0"/>
          <w:u w:val="single"/>
        </w:rPr>
        <w:t>5</w:t>
      </w:r>
      <w:r w:rsidRPr="00A553C1">
        <w:rPr>
          <w:b w:val="0"/>
          <w:u w:val="single"/>
        </w:rPr>
        <w:t>-3:55)</w:t>
      </w:r>
    </w:p>
    <w:p w:rsidR="00291693" w:rsidP="00291693">
      <w:pPr>
        <w:pStyle w:val="SecondaryHeading-Numbered"/>
        <w:numPr>
          <w:ilvl w:val="0"/>
          <w:numId w:val="18"/>
        </w:numPr>
        <w:rPr>
          <w:b w:val="0"/>
          <w:color w:val="000000" w:themeColor="text1"/>
        </w:rPr>
      </w:pPr>
      <w:r>
        <w:rPr>
          <w:b w:val="0"/>
          <w:color w:val="000000" w:themeColor="text1"/>
        </w:rPr>
        <w:t xml:space="preserve">Jim Wilson, Consultant to the Consumer Advocates, will provide perspectives on procurement metric and level. </w:t>
      </w:r>
    </w:p>
    <w:p w:rsidR="00291693" w:rsidRPr="0020057C" w:rsidP="0020057C">
      <w:pPr>
        <w:pStyle w:val="SecondaryHeading-Numbered"/>
        <w:numPr>
          <w:ilvl w:val="0"/>
          <w:numId w:val="18"/>
        </w:numPr>
        <w:rPr>
          <w:rStyle w:val="Hyperlink"/>
          <w:b w:val="0"/>
          <w:color w:val="000000" w:themeColor="text1"/>
          <w:u w:val="none"/>
        </w:rPr>
      </w:pPr>
      <w:r w:rsidRPr="0020057C">
        <w:rPr>
          <w:b w:val="0"/>
        </w:rPr>
        <w:t>Matrix Development - Interest Identification</w:t>
      </w:r>
      <w:r w:rsidR="008359A0">
        <w:rPr>
          <w:b w:val="0"/>
        </w:rPr>
        <w:t xml:space="preserve"> and Design Components</w:t>
      </w:r>
      <w:r w:rsidRPr="0020057C">
        <w:rPr>
          <w:b w:val="0"/>
        </w:rPr>
        <w:t>, Dave Anders, facilitator, will lead a discussion to begin the Consensus Based Issue Resolution Process. The Senior Task Force will be asked to provide interests</w:t>
      </w:r>
      <w:r w:rsidR="008359A0">
        <w:rPr>
          <w:b w:val="0"/>
        </w:rPr>
        <w:t xml:space="preserve"> and design components</w:t>
      </w:r>
      <w:r w:rsidRPr="0020057C">
        <w:rPr>
          <w:b w:val="0"/>
        </w:rPr>
        <w:t xml:space="preserve"> on the procurement metric and level. </w:t>
      </w:r>
      <w:r w:rsidRPr="0020057C">
        <w:rPr>
          <w:b w:val="0"/>
          <w:color w:val="000000" w:themeColor="text1"/>
        </w:rPr>
        <w:t xml:space="preserve">For more information about the CBIR process, please refer to </w:t>
      </w:r>
      <w:hyperlink r:id="rId5" w:history="1">
        <w:r w:rsidRPr="0020057C">
          <w:rPr>
            <w:rStyle w:val="Hyperlink"/>
            <w:b w:val="0"/>
          </w:rPr>
          <w:t>Manual 34 Section 7.</w:t>
        </w:r>
      </w:hyperlink>
    </w:p>
    <w:p w:rsidR="001D3B68" w:rsidP="007C2954">
      <w:pPr>
        <w:pStyle w:val="PrimaryHeading"/>
      </w:pPr>
      <w:r>
        <w:t>Next Steps</w:t>
      </w:r>
      <w:r w:rsidR="00606F11">
        <w:t xml:space="preserve"> </w:t>
      </w:r>
      <w:r>
        <w:t>(</w:t>
      </w:r>
      <w:r w:rsidR="00D50910">
        <w:t>3</w:t>
      </w:r>
      <w:r w:rsidR="00D55BF4">
        <w:t>:</w:t>
      </w:r>
      <w:r w:rsidR="00971E4A">
        <w:t>5</w:t>
      </w:r>
      <w:r w:rsidR="00E1172F">
        <w:t>5</w:t>
      </w:r>
      <w:r>
        <w:t>-</w:t>
      </w:r>
      <w:r w:rsidR="00D50910">
        <w:t>4</w:t>
      </w:r>
      <w:r w:rsidR="00F30464">
        <w:t>:</w:t>
      </w:r>
      <w:r w:rsidR="00971E4A">
        <w:t>0</w:t>
      </w:r>
      <w:r w:rsidR="00D55BF4">
        <w:t>0</w:t>
      </w:r>
      <w:r w:rsidRPr="00DB29E9">
        <w:t>)</w:t>
      </w:r>
    </w:p>
    <w:p w:rsidR="003674C0" w:rsidP="00514B80">
      <w:pPr>
        <w:pStyle w:val="SecondaryHeading-Numbered"/>
        <w:rPr>
          <w:b w:val="0"/>
        </w:rPr>
      </w:pPr>
      <w:r>
        <w:rPr>
          <w:b w:val="0"/>
        </w:rPr>
        <w:t>Dave Anders</w:t>
      </w:r>
      <w:r w:rsidR="007318C5">
        <w:rPr>
          <w:b w:val="0"/>
        </w:rPr>
        <w:t xml:space="preserve"> will discuss next steps</w:t>
      </w:r>
    </w:p>
    <w:p w:rsidR="00EA5739" w:rsidP="00EA5739">
      <w:pPr>
        <w:pStyle w:val="PrimaryHeading"/>
      </w:pPr>
      <w:r>
        <w:t xml:space="preserve">Future Agenda Items </w:t>
      </w:r>
      <w:r w:rsidR="001F6C10">
        <w:t>(0:00)</w:t>
      </w:r>
    </w:p>
    <w:p w:rsidR="006E1885" w:rsidRPr="00514B80"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A3156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3674C0">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February 28,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February 17,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February 23,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3A14" w:rsidRPr="006D3A14" w:rsidP="006D3A14">
            <w:pPr>
              <w:pStyle w:val="DisclaimerHeading"/>
              <w:spacing w:before="40" w:after="40" w:line="220" w:lineRule="exact"/>
              <w:jc w:val="left"/>
              <w:rPr>
                <w:b w:val="0"/>
                <w:i w:val="0"/>
                <w:color w:val="auto"/>
                <w:sz w:val="18"/>
                <w:szCs w:val="18"/>
              </w:rPr>
            </w:pPr>
            <w:r>
              <w:rPr>
                <w:b w:val="0"/>
                <w:i w:val="0"/>
                <w:color w:val="auto"/>
                <w:sz w:val="18"/>
                <w:szCs w:val="18"/>
              </w:rPr>
              <w:t>March 7, 2022</w:t>
            </w:r>
          </w:p>
        </w:tc>
        <w:tc>
          <w:tcPr>
            <w:tcW w:w="1890" w:type="dxa"/>
            <w:tcBorders>
              <w:top w:val="single" w:sz="4" w:space="0" w:color="auto"/>
              <w:left w:val="single" w:sz="4" w:space="0" w:color="auto"/>
              <w:bottom w:val="single" w:sz="4" w:space="0" w:color="auto"/>
              <w:right w:val="single" w:sz="8" w:space="0" w:color="auto"/>
            </w:tcBorders>
          </w:tcPr>
          <w:p w:rsidR="006D3A14" w:rsidP="004240BC">
            <w:pPr>
              <w:pStyle w:val="DisclaimerHeading"/>
              <w:spacing w:before="40" w:after="40" w:line="220" w:lineRule="exact"/>
              <w:rPr>
                <w:b w:val="0"/>
                <w:color w:val="auto"/>
                <w:sz w:val="18"/>
                <w:szCs w:val="18"/>
              </w:rPr>
            </w:pPr>
            <w:r>
              <w:rPr>
                <w:b w:val="0"/>
                <w:color w:val="auto"/>
                <w:sz w:val="18"/>
                <w:szCs w:val="18"/>
              </w:rPr>
              <w:t xml:space="preserve">9:00 am – 12:00 p.m. </w:t>
            </w:r>
          </w:p>
        </w:tc>
        <w:tc>
          <w:tcPr>
            <w:tcW w:w="2430" w:type="dxa"/>
            <w:tcBorders>
              <w:top w:val="single" w:sz="4" w:space="0" w:color="auto"/>
              <w:left w:val="single" w:sz="8" w:space="0" w:color="auto"/>
              <w:bottom w:val="single" w:sz="4" w:space="0" w:color="auto"/>
              <w:right w:val="single" w:sz="8" w:space="0" w:color="auto"/>
            </w:tcBorders>
          </w:tcPr>
          <w:p w:rsidR="006D3A14" w:rsidP="004240BC">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D3A14" w:rsidP="004240BC">
            <w:pPr>
              <w:pStyle w:val="DisclaimerHeading"/>
              <w:spacing w:before="40" w:after="40" w:line="220" w:lineRule="exact"/>
              <w:jc w:val="center"/>
              <w:rPr>
                <w:b w:val="0"/>
                <w:color w:val="auto"/>
                <w:sz w:val="18"/>
                <w:szCs w:val="18"/>
              </w:rPr>
            </w:pPr>
            <w:r>
              <w:rPr>
                <w:b w:val="0"/>
                <w:color w:val="auto"/>
                <w:sz w:val="18"/>
                <w:szCs w:val="18"/>
              </w:rPr>
              <w:t>February 25, 2022</w:t>
            </w:r>
          </w:p>
        </w:tc>
        <w:tc>
          <w:tcPr>
            <w:tcW w:w="1529" w:type="dxa"/>
            <w:tcBorders>
              <w:top w:val="single" w:sz="4" w:space="0" w:color="auto"/>
              <w:left w:val="single" w:sz="4" w:space="0" w:color="auto"/>
              <w:bottom w:val="single" w:sz="4" w:space="0" w:color="auto"/>
              <w:right w:val="single" w:sz="4" w:space="0" w:color="auto"/>
            </w:tcBorders>
          </w:tcPr>
          <w:p w:rsidR="006D3A14" w:rsidP="004240BC">
            <w:pPr>
              <w:pStyle w:val="DisclaimerHeading"/>
              <w:spacing w:before="40" w:after="40" w:line="220" w:lineRule="exact"/>
              <w:jc w:val="center"/>
              <w:rPr>
                <w:b w:val="0"/>
                <w:color w:val="auto"/>
                <w:sz w:val="18"/>
                <w:szCs w:val="18"/>
              </w:rPr>
            </w:pPr>
            <w:r>
              <w:rPr>
                <w:b w:val="0"/>
                <w:color w:val="auto"/>
                <w:sz w:val="18"/>
                <w:szCs w:val="18"/>
              </w:rPr>
              <w:t>March 2,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66272" w:rsidRPr="00A66272" w:rsidP="00A66272">
            <w:pPr>
              <w:pStyle w:val="DisclaimerHeading"/>
              <w:spacing w:before="40" w:after="40" w:line="220" w:lineRule="exact"/>
              <w:jc w:val="left"/>
              <w:rPr>
                <w:b w:val="0"/>
                <w:i w:val="0"/>
                <w:color w:val="auto"/>
                <w:sz w:val="18"/>
                <w:szCs w:val="18"/>
              </w:rPr>
            </w:pPr>
            <w:r w:rsidRPr="00A66272">
              <w:rPr>
                <w:b w:val="0"/>
                <w:i w:val="0"/>
                <w:color w:val="auto"/>
                <w:sz w:val="18"/>
                <w:szCs w:val="18"/>
              </w:rPr>
              <w:t>March 14, 2022</w:t>
            </w:r>
          </w:p>
        </w:tc>
        <w:tc>
          <w:tcPr>
            <w:tcW w:w="1890" w:type="dxa"/>
            <w:tcBorders>
              <w:top w:val="single" w:sz="4" w:space="0" w:color="auto"/>
              <w:left w:val="single" w:sz="4" w:space="0" w:color="auto"/>
              <w:bottom w:val="single" w:sz="4" w:space="0" w:color="auto"/>
              <w:right w:val="single" w:sz="8" w:space="0" w:color="auto"/>
            </w:tcBorders>
          </w:tcPr>
          <w:p w:rsidR="00A66272" w:rsidP="004240BC">
            <w:pPr>
              <w:pStyle w:val="DisclaimerHeading"/>
              <w:spacing w:before="40" w:after="40" w:line="220" w:lineRule="exact"/>
              <w:rPr>
                <w:b w:val="0"/>
                <w:color w:val="auto"/>
                <w:sz w:val="18"/>
                <w:szCs w:val="18"/>
              </w:rPr>
            </w:pPr>
            <w:r>
              <w:rPr>
                <w:b w:val="0"/>
                <w:color w:val="auto"/>
                <w:sz w:val="18"/>
                <w:szCs w:val="18"/>
              </w:rPr>
              <w:t>1:00 p.m. – 5:00 p.m.</w:t>
            </w:r>
          </w:p>
        </w:tc>
        <w:tc>
          <w:tcPr>
            <w:tcW w:w="2430" w:type="dxa"/>
            <w:tcBorders>
              <w:top w:val="single" w:sz="4" w:space="0" w:color="auto"/>
              <w:left w:val="single" w:sz="8" w:space="0" w:color="auto"/>
              <w:bottom w:val="single" w:sz="4" w:space="0" w:color="auto"/>
              <w:right w:val="single" w:sz="8" w:space="0" w:color="auto"/>
            </w:tcBorders>
          </w:tcPr>
          <w:p w:rsidR="00A66272" w:rsidP="004240BC">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66272" w:rsidP="004240BC">
            <w:pPr>
              <w:pStyle w:val="DisclaimerHeading"/>
              <w:spacing w:before="40" w:after="40" w:line="220" w:lineRule="exact"/>
              <w:jc w:val="center"/>
              <w:rPr>
                <w:b w:val="0"/>
                <w:color w:val="auto"/>
                <w:sz w:val="18"/>
                <w:szCs w:val="18"/>
              </w:rPr>
            </w:pPr>
            <w:r>
              <w:rPr>
                <w:b w:val="0"/>
                <w:color w:val="auto"/>
                <w:sz w:val="18"/>
                <w:szCs w:val="18"/>
              </w:rPr>
              <w:t>March 6, 2022</w:t>
            </w:r>
          </w:p>
        </w:tc>
        <w:tc>
          <w:tcPr>
            <w:tcW w:w="1529" w:type="dxa"/>
            <w:tcBorders>
              <w:top w:val="single" w:sz="4" w:space="0" w:color="auto"/>
              <w:left w:val="single" w:sz="4" w:space="0" w:color="auto"/>
              <w:bottom w:val="single" w:sz="4" w:space="0" w:color="auto"/>
              <w:right w:val="single" w:sz="4" w:space="0" w:color="auto"/>
            </w:tcBorders>
          </w:tcPr>
          <w:p w:rsidR="00A66272" w:rsidP="004240BC">
            <w:pPr>
              <w:pStyle w:val="DisclaimerHeading"/>
              <w:spacing w:before="40" w:after="40" w:line="220" w:lineRule="exact"/>
              <w:jc w:val="center"/>
              <w:rPr>
                <w:b w:val="0"/>
                <w:color w:val="auto"/>
                <w:sz w:val="18"/>
                <w:szCs w:val="18"/>
              </w:rPr>
            </w:pPr>
            <w:r>
              <w:rPr>
                <w:b w:val="0"/>
                <w:color w:val="auto"/>
                <w:sz w:val="18"/>
                <w:szCs w:val="18"/>
              </w:rPr>
              <w:t>March 11,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March 21.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6,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3,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23, 2022</w:t>
            </w:r>
          </w:p>
        </w:tc>
      </w:tr>
      <w:tr w:rsidTr="003674C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June 20, 2022</w:t>
            </w:r>
          </w:p>
        </w:tc>
        <w:tc>
          <w:tcPr>
            <w:tcW w:w="189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June 16, 2022</w:t>
            </w:r>
          </w:p>
        </w:tc>
      </w:tr>
    </w:tbl>
    <w:p w:rsidR="003C3320" w:rsidP="003C3320">
      <w:pPr>
        <w:pStyle w:val="DisclaimerBodyCopy"/>
        <w:rPr>
          <w:sz w:val="24"/>
        </w:rPr>
      </w:pPr>
      <w:r>
        <w:br w:type="page"/>
      </w:r>
    </w:p>
    <w:p w:rsidR="00B62597" w:rsidP="00337321">
      <w:pPr>
        <w:pStyle w:val="Author"/>
      </w:pPr>
      <w:r>
        <w:t xml:space="preserve">Author: </w:t>
      </w:r>
      <w:r w:rsidR="009635F6">
        <w:t>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1C0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of February 23</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53FD4"/>
    <w:rsid w:val="000553B4"/>
    <w:rsid w:val="0006798D"/>
    <w:rsid w:val="00071BB6"/>
    <w:rsid w:val="0007389F"/>
    <w:rsid w:val="00082A37"/>
    <w:rsid w:val="0008604B"/>
    <w:rsid w:val="00090A44"/>
    <w:rsid w:val="00092135"/>
    <w:rsid w:val="00097519"/>
    <w:rsid w:val="000A7033"/>
    <w:rsid w:val="000B4B85"/>
    <w:rsid w:val="000C06A1"/>
    <w:rsid w:val="000E7CFA"/>
    <w:rsid w:val="000E7F4F"/>
    <w:rsid w:val="00100572"/>
    <w:rsid w:val="00103531"/>
    <w:rsid w:val="00103B0A"/>
    <w:rsid w:val="00105177"/>
    <w:rsid w:val="00106F9B"/>
    <w:rsid w:val="00114E7B"/>
    <w:rsid w:val="00117AF9"/>
    <w:rsid w:val="00121F58"/>
    <w:rsid w:val="001250C7"/>
    <w:rsid w:val="0012568F"/>
    <w:rsid w:val="00125985"/>
    <w:rsid w:val="0014353C"/>
    <w:rsid w:val="00152CCC"/>
    <w:rsid w:val="00157AD1"/>
    <w:rsid w:val="001678E8"/>
    <w:rsid w:val="00193166"/>
    <w:rsid w:val="001A5221"/>
    <w:rsid w:val="001A5BBC"/>
    <w:rsid w:val="001A5FAC"/>
    <w:rsid w:val="001B04A9"/>
    <w:rsid w:val="001B2242"/>
    <w:rsid w:val="001B5743"/>
    <w:rsid w:val="001C085E"/>
    <w:rsid w:val="001C0CC0"/>
    <w:rsid w:val="001C1D9D"/>
    <w:rsid w:val="001C3996"/>
    <w:rsid w:val="001D16EA"/>
    <w:rsid w:val="001D2444"/>
    <w:rsid w:val="001D3B68"/>
    <w:rsid w:val="001D73C3"/>
    <w:rsid w:val="001E6B9F"/>
    <w:rsid w:val="001F3B2D"/>
    <w:rsid w:val="001F6C10"/>
    <w:rsid w:val="0020057C"/>
    <w:rsid w:val="00202C16"/>
    <w:rsid w:val="00203E75"/>
    <w:rsid w:val="002056D5"/>
    <w:rsid w:val="002113BD"/>
    <w:rsid w:val="0021347F"/>
    <w:rsid w:val="00215FEE"/>
    <w:rsid w:val="00220537"/>
    <w:rsid w:val="00226E86"/>
    <w:rsid w:val="00241683"/>
    <w:rsid w:val="002432C5"/>
    <w:rsid w:val="00244688"/>
    <w:rsid w:val="0025139E"/>
    <w:rsid w:val="00254A6E"/>
    <w:rsid w:val="00254BD3"/>
    <w:rsid w:val="002829BB"/>
    <w:rsid w:val="00291693"/>
    <w:rsid w:val="00296E5D"/>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3015D9"/>
    <w:rsid w:val="00303E06"/>
    <w:rsid w:val="00304BED"/>
    <w:rsid w:val="00305238"/>
    <w:rsid w:val="00310728"/>
    <w:rsid w:val="0031200F"/>
    <w:rsid w:val="0032229C"/>
    <w:rsid w:val="003251CE"/>
    <w:rsid w:val="00335807"/>
    <w:rsid w:val="00337321"/>
    <w:rsid w:val="0036143A"/>
    <w:rsid w:val="0036258D"/>
    <w:rsid w:val="003674C0"/>
    <w:rsid w:val="00367AB4"/>
    <w:rsid w:val="00375383"/>
    <w:rsid w:val="00376A46"/>
    <w:rsid w:val="003779F8"/>
    <w:rsid w:val="00382EC8"/>
    <w:rsid w:val="00386118"/>
    <w:rsid w:val="00386A25"/>
    <w:rsid w:val="00387428"/>
    <w:rsid w:val="00394850"/>
    <w:rsid w:val="00394FFD"/>
    <w:rsid w:val="003970D0"/>
    <w:rsid w:val="003A0170"/>
    <w:rsid w:val="003A3C80"/>
    <w:rsid w:val="003B2C29"/>
    <w:rsid w:val="003B55E1"/>
    <w:rsid w:val="003C17E2"/>
    <w:rsid w:val="003C3320"/>
    <w:rsid w:val="003D4E5B"/>
    <w:rsid w:val="003D678B"/>
    <w:rsid w:val="003D7E5C"/>
    <w:rsid w:val="003E4373"/>
    <w:rsid w:val="003E7A73"/>
    <w:rsid w:val="003F0962"/>
    <w:rsid w:val="003F3A60"/>
    <w:rsid w:val="003F79B7"/>
    <w:rsid w:val="004165A0"/>
    <w:rsid w:val="004219EA"/>
    <w:rsid w:val="004240BC"/>
    <w:rsid w:val="004308AA"/>
    <w:rsid w:val="004309ED"/>
    <w:rsid w:val="00435D1D"/>
    <w:rsid w:val="00442B4B"/>
    <w:rsid w:val="004462AF"/>
    <w:rsid w:val="004463B5"/>
    <w:rsid w:val="0045223C"/>
    <w:rsid w:val="004564BD"/>
    <w:rsid w:val="0046043F"/>
    <w:rsid w:val="004748A4"/>
    <w:rsid w:val="004767F1"/>
    <w:rsid w:val="004807BA"/>
    <w:rsid w:val="00480C4D"/>
    <w:rsid w:val="004839D1"/>
    <w:rsid w:val="00485127"/>
    <w:rsid w:val="00491490"/>
    <w:rsid w:val="004932C5"/>
    <w:rsid w:val="00494494"/>
    <w:rsid w:val="004969FA"/>
    <w:rsid w:val="004A106C"/>
    <w:rsid w:val="004A27DD"/>
    <w:rsid w:val="004A3ED4"/>
    <w:rsid w:val="004C0C46"/>
    <w:rsid w:val="004C1FF7"/>
    <w:rsid w:val="004C6CBC"/>
    <w:rsid w:val="004D3251"/>
    <w:rsid w:val="004D7EF6"/>
    <w:rsid w:val="004E55B0"/>
    <w:rsid w:val="004F0CFA"/>
    <w:rsid w:val="00506661"/>
    <w:rsid w:val="00507EC0"/>
    <w:rsid w:val="00514B80"/>
    <w:rsid w:val="00516F7B"/>
    <w:rsid w:val="0052063B"/>
    <w:rsid w:val="00521BBF"/>
    <w:rsid w:val="00527104"/>
    <w:rsid w:val="00530C08"/>
    <w:rsid w:val="00550FA3"/>
    <w:rsid w:val="005523AC"/>
    <w:rsid w:val="00556060"/>
    <w:rsid w:val="00562A59"/>
    <w:rsid w:val="0056483B"/>
    <w:rsid w:val="005649D1"/>
    <w:rsid w:val="00564DEE"/>
    <w:rsid w:val="00566CE3"/>
    <w:rsid w:val="00567020"/>
    <w:rsid w:val="00570ABC"/>
    <w:rsid w:val="0057441E"/>
    <w:rsid w:val="00585295"/>
    <w:rsid w:val="00595BBE"/>
    <w:rsid w:val="005A5D0D"/>
    <w:rsid w:val="005A7217"/>
    <w:rsid w:val="005C2C45"/>
    <w:rsid w:val="005D0524"/>
    <w:rsid w:val="005D4129"/>
    <w:rsid w:val="005D6D05"/>
    <w:rsid w:val="005E2655"/>
    <w:rsid w:val="005F714D"/>
    <w:rsid w:val="006024A0"/>
    <w:rsid w:val="00602967"/>
    <w:rsid w:val="00606F11"/>
    <w:rsid w:val="00614D0E"/>
    <w:rsid w:val="00622351"/>
    <w:rsid w:val="00633B95"/>
    <w:rsid w:val="006368AE"/>
    <w:rsid w:val="00641E21"/>
    <w:rsid w:val="0064789B"/>
    <w:rsid w:val="00666805"/>
    <w:rsid w:val="006736F8"/>
    <w:rsid w:val="00674D71"/>
    <w:rsid w:val="00687DE9"/>
    <w:rsid w:val="006A30F6"/>
    <w:rsid w:val="006A3416"/>
    <w:rsid w:val="006B0570"/>
    <w:rsid w:val="006B48CE"/>
    <w:rsid w:val="006C07B6"/>
    <w:rsid w:val="006C738F"/>
    <w:rsid w:val="006C7949"/>
    <w:rsid w:val="006D3A14"/>
    <w:rsid w:val="006D6559"/>
    <w:rsid w:val="006E15DF"/>
    <w:rsid w:val="006E1885"/>
    <w:rsid w:val="006E7D72"/>
    <w:rsid w:val="006F5424"/>
    <w:rsid w:val="006F5CE4"/>
    <w:rsid w:val="006F6654"/>
    <w:rsid w:val="006F7A52"/>
    <w:rsid w:val="00707309"/>
    <w:rsid w:val="00711249"/>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2A9E"/>
    <w:rsid w:val="00773771"/>
    <w:rsid w:val="00776C8F"/>
    <w:rsid w:val="007859A3"/>
    <w:rsid w:val="00787A32"/>
    <w:rsid w:val="007A34A3"/>
    <w:rsid w:val="007A3525"/>
    <w:rsid w:val="007A5272"/>
    <w:rsid w:val="007A77A8"/>
    <w:rsid w:val="007B16AD"/>
    <w:rsid w:val="007B43E9"/>
    <w:rsid w:val="007B4CBA"/>
    <w:rsid w:val="007C25B0"/>
    <w:rsid w:val="007C2954"/>
    <w:rsid w:val="007C5C40"/>
    <w:rsid w:val="007C7ACE"/>
    <w:rsid w:val="007D484A"/>
    <w:rsid w:val="007D4F70"/>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A0D28"/>
    <w:rsid w:val="008B2D6E"/>
    <w:rsid w:val="008B61AE"/>
    <w:rsid w:val="008C1DD8"/>
    <w:rsid w:val="008D1ED5"/>
    <w:rsid w:val="008E0169"/>
    <w:rsid w:val="008F0AAC"/>
    <w:rsid w:val="00914ECE"/>
    <w:rsid w:val="00917386"/>
    <w:rsid w:val="00923477"/>
    <w:rsid w:val="00933C52"/>
    <w:rsid w:val="009349F4"/>
    <w:rsid w:val="009374E6"/>
    <w:rsid w:val="00937F9D"/>
    <w:rsid w:val="009635F6"/>
    <w:rsid w:val="009642BB"/>
    <w:rsid w:val="00964679"/>
    <w:rsid w:val="00971E4A"/>
    <w:rsid w:val="009817BE"/>
    <w:rsid w:val="00991528"/>
    <w:rsid w:val="00991B4F"/>
    <w:rsid w:val="00996E33"/>
    <w:rsid w:val="009A494B"/>
    <w:rsid w:val="009A5430"/>
    <w:rsid w:val="009B672E"/>
    <w:rsid w:val="009B7548"/>
    <w:rsid w:val="009B7E53"/>
    <w:rsid w:val="009C15C4"/>
    <w:rsid w:val="009C6E8B"/>
    <w:rsid w:val="009D761B"/>
    <w:rsid w:val="009D7B52"/>
    <w:rsid w:val="009E13CD"/>
    <w:rsid w:val="009E247E"/>
    <w:rsid w:val="009F53F9"/>
    <w:rsid w:val="009F779B"/>
    <w:rsid w:val="00A0436E"/>
    <w:rsid w:val="00A05391"/>
    <w:rsid w:val="00A209AD"/>
    <w:rsid w:val="00A3156B"/>
    <w:rsid w:val="00A317A9"/>
    <w:rsid w:val="00A34C17"/>
    <w:rsid w:val="00A41149"/>
    <w:rsid w:val="00A51AFB"/>
    <w:rsid w:val="00A553C1"/>
    <w:rsid w:val="00A61FE9"/>
    <w:rsid w:val="00A660D0"/>
    <w:rsid w:val="00A66272"/>
    <w:rsid w:val="00A7250F"/>
    <w:rsid w:val="00A81D15"/>
    <w:rsid w:val="00A83A99"/>
    <w:rsid w:val="00A86AB8"/>
    <w:rsid w:val="00AB17ED"/>
    <w:rsid w:val="00AC2247"/>
    <w:rsid w:val="00AC31FD"/>
    <w:rsid w:val="00AD0376"/>
    <w:rsid w:val="00AE4097"/>
    <w:rsid w:val="00AE77C2"/>
    <w:rsid w:val="00AF423A"/>
    <w:rsid w:val="00B008ED"/>
    <w:rsid w:val="00B06A5F"/>
    <w:rsid w:val="00B146EB"/>
    <w:rsid w:val="00B16AF0"/>
    <w:rsid w:val="00B16D95"/>
    <w:rsid w:val="00B17B4D"/>
    <w:rsid w:val="00B20316"/>
    <w:rsid w:val="00B21B87"/>
    <w:rsid w:val="00B255F5"/>
    <w:rsid w:val="00B32E2C"/>
    <w:rsid w:val="00B33BF9"/>
    <w:rsid w:val="00B344C9"/>
    <w:rsid w:val="00B34E3C"/>
    <w:rsid w:val="00B44BAD"/>
    <w:rsid w:val="00B45FE3"/>
    <w:rsid w:val="00B62597"/>
    <w:rsid w:val="00B64162"/>
    <w:rsid w:val="00B66499"/>
    <w:rsid w:val="00B760C1"/>
    <w:rsid w:val="00B766F0"/>
    <w:rsid w:val="00B91346"/>
    <w:rsid w:val="00B92613"/>
    <w:rsid w:val="00B9428E"/>
    <w:rsid w:val="00B958A5"/>
    <w:rsid w:val="00B96561"/>
    <w:rsid w:val="00BA6146"/>
    <w:rsid w:val="00BB0C87"/>
    <w:rsid w:val="00BB18FC"/>
    <w:rsid w:val="00BB531B"/>
    <w:rsid w:val="00BB6921"/>
    <w:rsid w:val="00BB6DA2"/>
    <w:rsid w:val="00BC1E29"/>
    <w:rsid w:val="00BE213C"/>
    <w:rsid w:val="00BF331B"/>
    <w:rsid w:val="00BF75BE"/>
    <w:rsid w:val="00C10A93"/>
    <w:rsid w:val="00C20466"/>
    <w:rsid w:val="00C305DE"/>
    <w:rsid w:val="00C439EC"/>
    <w:rsid w:val="00C4497D"/>
    <w:rsid w:val="00C45680"/>
    <w:rsid w:val="00C5307B"/>
    <w:rsid w:val="00C57849"/>
    <w:rsid w:val="00C622C3"/>
    <w:rsid w:val="00C72168"/>
    <w:rsid w:val="00C72EF6"/>
    <w:rsid w:val="00C757F4"/>
    <w:rsid w:val="00C75A9D"/>
    <w:rsid w:val="00C82636"/>
    <w:rsid w:val="00C82AB3"/>
    <w:rsid w:val="00C91B15"/>
    <w:rsid w:val="00CA3931"/>
    <w:rsid w:val="00CA49B9"/>
    <w:rsid w:val="00CB19DE"/>
    <w:rsid w:val="00CB475B"/>
    <w:rsid w:val="00CC1B47"/>
    <w:rsid w:val="00CD2345"/>
    <w:rsid w:val="00CD3F26"/>
    <w:rsid w:val="00CD5107"/>
    <w:rsid w:val="00CE25C0"/>
    <w:rsid w:val="00CF2DBD"/>
    <w:rsid w:val="00CF4E8A"/>
    <w:rsid w:val="00D05110"/>
    <w:rsid w:val="00D06EC8"/>
    <w:rsid w:val="00D136EA"/>
    <w:rsid w:val="00D1502F"/>
    <w:rsid w:val="00D15319"/>
    <w:rsid w:val="00D1717A"/>
    <w:rsid w:val="00D17AA1"/>
    <w:rsid w:val="00D251ED"/>
    <w:rsid w:val="00D25857"/>
    <w:rsid w:val="00D25FF1"/>
    <w:rsid w:val="00D30C3C"/>
    <w:rsid w:val="00D31C09"/>
    <w:rsid w:val="00D50910"/>
    <w:rsid w:val="00D54BF8"/>
    <w:rsid w:val="00D55BF4"/>
    <w:rsid w:val="00D60F3E"/>
    <w:rsid w:val="00D62437"/>
    <w:rsid w:val="00D635EA"/>
    <w:rsid w:val="00D76AD9"/>
    <w:rsid w:val="00D770F4"/>
    <w:rsid w:val="00D8306F"/>
    <w:rsid w:val="00D831E4"/>
    <w:rsid w:val="00D83F11"/>
    <w:rsid w:val="00D95949"/>
    <w:rsid w:val="00D97217"/>
    <w:rsid w:val="00DA19B4"/>
    <w:rsid w:val="00DA23DE"/>
    <w:rsid w:val="00DB1D8D"/>
    <w:rsid w:val="00DB2746"/>
    <w:rsid w:val="00DB29E9"/>
    <w:rsid w:val="00DC0C05"/>
    <w:rsid w:val="00DE34CF"/>
    <w:rsid w:val="00DE6B6A"/>
    <w:rsid w:val="00DE7BD1"/>
    <w:rsid w:val="00DF1112"/>
    <w:rsid w:val="00DF183E"/>
    <w:rsid w:val="00DF2D47"/>
    <w:rsid w:val="00E1172F"/>
    <w:rsid w:val="00E1605D"/>
    <w:rsid w:val="00E31041"/>
    <w:rsid w:val="00E32B6B"/>
    <w:rsid w:val="00E35842"/>
    <w:rsid w:val="00E45DE5"/>
    <w:rsid w:val="00E5387A"/>
    <w:rsid w:val="00E55E84"/>
    <w:rsid w:val="00E61A2B"/>
    <w:rsid w:val="00E83D6C"/>
    <w:rsid w:val="00E92606"/>
    <w:rsid w:val="00E94D74"/>
    <w:rsid w:val="00EA5739"/>
    <w:rsid w:val="00EB68B0"/>
    <w:rsid w:val="00EC38AA"/>
    <w:rsid w:val="00EC5FDC"/>
    <w:rsid w:val="00ED1B96"/>
    <w:rsid w:val="00EE214F"/>
    <w:rsid w:val="00EF16B8"/>
    <w:rsid w:val="00F02696"/>
    <w:rsid w:val="00F148CF"/>
    <w:rsid w:val="00F2274F"/>
    <w:rsid w:val="00F22C51"/>
    <w:rsid w:val="00F259FD"/>
    <w:rsid w:val="00F26A48"/>
    <w:rsid w:val="00F277F3"/>
    <w:rsid w:val="00F30464"/>
    <w:rsid w:val="00F31AC5"/>
    <w:rsid w:val="00F3720A"/>
    <w:rsid w:val="00F4190F"/>
    <w:rsid w:val="00F4691A"/>
    <w:rsid w:val="00F47C96"/>
    <w:rsid w:val="00F5077C"/>
    <w:rsid w:val="00F619A2"/>
    <w:rsid w:val="00F63B01"/>
    <w:rsid w:val="00F70F5F"/>
    <w:rsid w:val="00F94946"/>
    <w:rsid w:val="00F95C58"/>
    <w:rsid w:val="00FA460F"/>
    <w:rsid w:val="00FB1640"/>
    <w:rsid w:val="00FB1739"/>
    <w:rsid w:val="00FB696F"/>
    <w:rsid w:val="00FC2B9A"/>
    <w:rsid w:val="00FD0173"/>
    <w:rsid w:val="00FD147C"/>
    <w:rsid w:val="00FF25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cuments/manuals/m34.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A43F-65C1-407A-B051-AD252E9B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