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5C7E76" w:rsidP="00755096">
      <w:pPr>
        <w:pStyle w:val="MeetingDetails"/>
      </w:pPr>
      <w:r>
        <w:t>Interconnection Process Reform Task Force</w:t>
      </w:r>
    </w:p>
    <w:p w:rsidR="00B62597" w:rsidRPr="00B62597" w:rsidRDefault="00FC37F6" w:rsidP="00755096">
      <w:pPr>
        <w:pStyle w:val="MeetingDetails"/>
      </w:pPr>
      <w:proofErr w:type="spellStart"/>
      <w:r>
        <w:t>Webex</w:t>
      </w:r>
      <w:proofErr w:type="spellEnd"/>
    </w:p>
    <w:p w:rsidR="00B62597" w:rsidRPr="00B62597" w:rsidRDefault="00447E16" w:rsidP="00755096">
      <w:pPr>
        <w:pStyle w:val="MeetingDetails"/>
      </w:pPr>
      <w:r>
        <w:t>October 19</w:t>
      </w:r>
      <w:r w:rsidR="002B2F98">
        <w:t xml:space="preserve">, </w:t>
      </w:r>
      <w:r w:rsidR="0006798D">
        <w:t>2021</w:t>
      </w:r>
    </w:p>
    <w:p w:rsidR="00B62597" w:rsidRPr="00B62597" w:rsidRDefault="00447E16" w:rsidP="00755096">
      <w:pPr>
        <w:pStyle w:val="MeetingDetails"/>
        <w:rPr>
          <w:sz w:val="28"/>
          <w:u w:val="single"/>
        </w:rPr>
      </w:pPr>
      <w:r>
        <w:t>9</w:t>
      </w:r>
      <w:r w:rsidR="002B2F98">
        <w:t xml:space="preserve">:00 </w:t>
      </w:r>
      <w:r>
        <w:t>a</w:t>
      </w:r>
      <w:r w:rsidR="00FC37F6">
        <w:t xml:space="preserve">.m. – </w:t>
      </w:r>
      <w:r>
        <w:t>12</w:t>
      </w:r>
      <w:r w:rsidR="00862401">
        <w:t>:00</w:t>
      </w:r>
      <w:r w:rsidR="005C7E76">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5C7E76">
        <w:t>on (</w:t>
      </w:r>
      <w:r w:rsidR="00447E16">
        <w:t>9</w:t>
      </w:r>
      <w:r w:rsidR="005C7E76">
        <w:t>:00-</w:t>
      </w:r>
      <w:r w:rsidR="00447E16">
        <w:t>9</w:t>
      </w:r>
      <w:r w:rsidR="00CF709B">
        <w:t>:15</w:t>
      </w:r>
      <w:r w:rsidR="00B62597" w:rsidRPr="00527104">
        <w:t>)</w:t>
      </w:r>
    </w:p>
    <w:bookmarkEnd w:id="0"/>
    <w:bookmarkEnd w:id="1"/>
    <w:p w:rsidR="00CF709B" w:rsidRPr="00C348AD" w:rsidRDefault="005C7E76" w:rsidP="005C7E76">
      <w:pPr>
        <w:pStyle w:val="SecondaryHeading-Numbered"/>
        <w:rPr>
          <w:b w:val="0"/>
        </w:rPr>
      </w:pPr>
      <w:r>
        <w:rPr>
          <w:b w:val="0"/>
        </w:rPr>
        <w:t>Jack Thomas, PJM, will provide welcome and announcements. Ed Kovler, PJM, will review Antitrust, Code of Conduct, and Public Meeting/Media Participation Guidelines.</w:t>
      </w:r>
      <w:r w:rsidR="0005272F">
        <w:rPr>
          <w:b w:val="0"/>
        </w:rPr>
        <w:t xml:space="preserve">  </w:t>
      </w:r>
      <w:r w:rsidR="0005272F" w:rsidRPr="00E10095">
        <w:t xml:space="preserve">Stakeholders will be asked to approve </w:t>
      </w:r>
      <w:r w:rsidR="0088625B">
        <w:t xml:space="preserve">the </w:t>
      </w:r>
      <w:r w:rsidR="0005272F" w:rsidRPr="00E10095">
        <w:t xml:space="preserve">draft minutes from the </w:t>
      </w:r>
      <w:r w:rsidR="00447E16">
        <w:t>October 7</w:t>
      </w:r>
      <w:r w:rsidR="0005272F" w:rsidRPr="00E10095">
        <w:t>, 202</w:t>
      </w:r>
      <w:r w:rsidR="00E10095" w:rsidRPr="00E10095">
        <w:t>1</w:t>
      </w:r>
      <w:r w:rsidR="0005272F" w:rsidRPr="00E10095">
        <w:t xml:space="preserve"> meeting.</w:t>
      </w:r>
    </w:p>
    <w:p w:rsidR="00C348AD" w:rsidRDefault="00F111DE" w:rsidP="00F111DE">
      <w:pPr>
        <w:pStyle w:val="SecondaryHeading-Numbered"/>
        <w:numPr>
          <w:ilvl w:val="0"/>
          <w:numId w:val="0"/>
        </w:numPr>
        <w:tabs>
          <w:tab w:val="clear" w:pos="0"/>
          <w:tab w:val="left" w:pos="360"/>
        </w:tabs>
        <w:rPr>
          <w:b w:val="0"/>
        </w:rPr>
      </w:pPr>
      <w:r w:rsidRPr="00F111DE">
        <w:rPr>
          <w:b w:val="0"/>
        </w:rPr>
        <w:t>1a</w:t>
      </w:r>
      <w:proofErr w:type="gramStart"/>
      <w:r w:rsidRPr="00F111DE">
        <w:rPr>
          <w:b w:val="0"/>
        </w:rPr>
        <w:t>.</w:t>
      </w:r>
      <w:r>
        <w:t xml:space="preserve">  </w:t>
      </w:r>
      <w:r w:rsidR="00E51071">
        <w:t>Poll</w:t>
      </w:r>
      <w:proofErr w:type="gramEnd"/>
      <w:r w:rsidR="00E51071">
        <w:t xml:space="preserve"> Participation Guidelines:</w:t>
      </w:r>
      <w:r w:rsidR="00C348AD">
        <w:rPr>
          <w:b w:val="0"/>
        </w:rPr>
        <w:t xml:space="preserve"> </w:t>
      </w:r>
    </w:p>
    <w:p w:rsidR="00C348AD" w:rsidRDefault="00C348AD" w:rsidP="0062331A">
      <w:pPr>
        <w:pStyle w:val="SecondaryHeading-Numbered"/>
        <w:numPr>
          <w:ilvl w:val="0"/>
          <w:numId w:val="14"/>
        </w:numPr>
        <w:tabs>
          <w:tab w:val="clear" w:pos="0"/>
          <w:tab w:val="left" w:pos="360"/>
        </w:tabs>
        <w:rPr>
          <w:b w:val="0"/>
        </w:rPr>
      </w:pPr>
      <w:r>
        <w:rPr>
          <w:b w:val="0"/>
        </w:rPr>
        <w:t>All stakeholders (members and non-members) may participate in polls issued at the task force.</w:t>
      </w:r>
    </w:p>
    <w:p w:rsidR="00262026" w:rsidRDefault="00262026" w:rsidP="0062331A">
      <w:pPr>
        <w:pStyle w:val="SecondaryHeading-Numbered"/>
        <w:numPr>
          <w:ilvl w:val="0"/>
          <w:numId w:val="14"/>
        </w:numPr>
        <w:tabs>
          <w:tab w:val="clear" w:pos="0"/>
          <w:tab w:val="left" w:pos="360"/>
        </w:tabs>
        <w:rPr>
          <w:b w:val="0"/>
        </w:rPr>
      </w:pPr>
      <w:r>
        <w:rPr>
          <w:b w:val="0"/>
        </w:rPr>
        <w:t>Only one person per company may submit a poll response</w:t>
      </w:r>
    </w:p>
    <w:p w:rsidR="00262026" w:rsidRDefault="00262026" w:rsidP="0062331A">
      <w:pPr>
        <w:pStyle w:val="SecondaryHeading-Numbered"/>
        <w:numPr>
          <w:ilvl w:val="1"/>
          <w:numId w:val="14"/>
        </w:numPr>
        <w:tabs>
          <w:tab w:val="clear" w:pos="0"/>
          <w:tab w:val="left" w:pos="360"/>
        </w:tabs>
        <w:rPr>
          <w:b w:val="0"/>
        </w:rPr>
      </w:pPr>
      <w:r>
        <w:rPr>
          <w:b w:val="0"/>
        </w:rPr>
        <w:t>Example</w:t>
      </w:r>
    </w:p>
    <w:p w:rsidR="00262026" w:rsidRDefault="00262026" w:rsidP="0062331A">
      <w:pPr>
        <w:pStyle w:val="SecondaryHeading-Numbered"/>
        <w:numPr>
          <w:ilvl w:val="2"/>
          <w:numId w:val="14"/>
        </w:numPr>
        <w:tabs>
          <w:tab w:val="clear" w:pos="0"/>
          <w:tab w:val="left" w:pos="360"/>
        </w:tabs>
        <w:rPr>
          <w:b w:val="0"/>
        </w:rPr>
      </w:pPr>
      <w:r>
        <w:rPr>
          <w:b w:val="0"/>
        </w:rPr>
        <w:t>John Doe may submit a response for company XYZ</w:t>
      </w:r>
    </w:p>
    <w:p w:rsidR="00262026" w:rsidRDefault="00262026" w:rsidP="0062331A">
      <w:pPr>
        <w:pStyle w:val="SecondaryHeading-Numbered"/>
        <w:numPr>
          <w:ilvl w:val="2"/>
          <w:numId w:val="14"/>
        </w:numPr>
        <w:tabs>
          <w:tab w:val="clear" w:pos="0"/>
          <w:tab w:val="left" w:pos="360"/>
        </w:tabs>
        <w:rPr>
          <w:b w:val="0"/>
        </w:rPr>
      </w:pPr>
      <w:r>
        <w:rPr>
          <w:b w:val="0"/>
        </w:rPr>
        <w:t>Only one of the poll responses submitted by John Doe and Jane Doe for company XYZ will be accepted</w:t>
      </w:r>
    </w:p>
    <w:p w:rsidR="00262026" w:rsidRDefault="00262026" w:rsidP="0062331A">
      <w:pPr>
        <w:pStyle w:val="SecondaryHeading-Numbered"/>
        <w:numPr>
          <w:ilvl w:val="0"/>
          <w:numId w:val="14"/>
        </w:numPr>
        <w:tabs>
          <w:tab w:val="clear" w:pos="0"/>
          <w:tab w:val="left" w:pos="360"/>
        </w:tabs>
        <w:rPr>
          <w:b w:val="0"/>
        </w:rPr>
      </w:pPr>
      <w:r>
        <w:rPr>
          <w:b w:val="0"/>
        </w:rPr>
        <w:t>One person can submit a poll response for multiple companies</w:t>
      </w:r>
    </w:p>
    <w:p w:rsidR="00262026" w:rsidRDefault="00262026" w:rsidP="0062331A">
      <w:pPr>
        <w:pStyle w:val="SecondaryHeading-Numbered"/>
        <w:numPr>
          <w:ilvl w:val="1"/>
          <w:numId w:val="14"/>
        </w:numPr>
        <w:tabs>
          <w:tab w:val="clear" w:pos="0"/>
          <w:tab w:val="left" w:pos="360"/>
        </w:tabs>
        <w:rPr>
          <w:b w:val="0"/>
        </w:rPr>
      </w:pPr>
      <w:r>
        <w:rPr>
          <w:b w:val="0"/>
        </w:rPr>
        <w:t>Example</w:t>
      </w:r>
    </w:p>
    <w:p w:rsidR="00262026" w:rsidRDefault="00262026" w:rsidP="0062331A">
      <w:pPr>
        <w:pStyle w:val="SecondaryHeading-Numbered"/>
        <w:numPr>
          <w:ilvl w:val="2"/>
          <w:numId w:val="14"/>
        </w:numPr>
        <w:tabs>
          <w:tab w:val="clear" w:pos="0"/>
          <w:tab w:val="left" w:pos="360"/>
        </w:tabs>
        <w:rPr>
          <w:b w:val="0"/>
        </w:rPr>
      </w:pPr>
      <w:r>
        <w:rPr>
          <w:b w:val="0"/>
        </w:rPr>
        <w:t>John Doe may submit poll responses for companies ABC and XYZ</w:t>
      </w:r>
    </w:p>
    <w:p w:rsidR="00C348AD" w:rsidRDefault="00C348AD" w:rsidP="0062331A">
      <w:pPr>
        <w:pStyle w:val="SecondaryHeading-Numbered"/>
        <w:numPr>
          <w:ilvl w:val="0"/>
          <w:numId w:val="14"/>
        </w:numPr>
        <w:tabs>
          <w:tab w:val="clear" w:pos="0"/>
          <w:tab w:val="left" w:pos="360"/>
        </w:tabs>
        <w:rPr>
          <w:b w:val="0"/>
        </w:rPr>
      </w:pPr>
      <w:r>
        <w:rPr>
          <w:b w:val="0"/>
        </w:rPr>
        <w:t>Non-Member company affiliates can participate in the polls if:</w:t>
      </w:r>
    </w:p>
    <w:p w:rsidR="00C348AD" w:rsidRDefault="00901A3E" w:rsidP="0062331A">
      <w:pPr>
        <w:pStyle w:val="SecondaryHeading-Numbered"/>
        <w:numPr>
          <w:ilvl w:val="1"/>
          <w:numId w:val="14"/>
        </w:numPr>
        <w:tabs>
          <w:tab w:val="clear" w:pos="0"/>
          <w:tab w:val="left" w:pos="360"/>
        </w:tabs>
        <w:rPr>
          <w:b w:val="0"/>
        </w:rPr>
      </w:pPr>
      <w:r>
        <w:rPr>
          <w:b w:val="0"/>
        </w:rPr>
        <w:t>T</w:t>
      </w:r>
      <w:r w:rsidR="00C348AD">
        <w:rPr>
          <w:b w:val="0"/>
        </w:rPr>
        <w:t xml:space="preserve">hey are set up as individual companies </w:t>
      </w:r>
      <w:r w:rsidR="00C348AD">
        <w:t>AND</w:t>
      </w:r>
    </w:p>
    <w:p w:rsidR="00C348AD" w:rsidRDefault="00C348AD" w:rsidP="0062331A">
      <w:pPr>
        <w:pStyle w:val="SecondaryHeading-Numbered"/>
        <w:numPr>
          <w:ilvl w:val="1"/>
          <w:numId w:val="14"/>
        </w:numPr>
        <w:tabs>
          <w:tab w:val="clear" w:pos="0"/>
          <w:tab w:val="left" w:pos="360"/>
        </w:tabs>
        <w:rPr>
          <w:b w:val="0"/>
        </w:rPr>
      </w:pPr>
      <w:r>
        <w:rPr>
          <w:b w:val="0"/>
        </w:rPr>
        <w:t xml:space="preserve">have </w:t>
      </w:r>
      <w:r w:rsidR="00EC02A0">
        <w:rPr>
          <w:b w:val="0"/>
        </w:rPr>
        <w:t xml:space="preserve">an </w:t>
      </w:r>
      <w:r>
        <w:rPr>
          <w:b w:val="0"/>
        </w:rPr>
        <w:t>active</w:t>
      </w:r>
      <w:r w:rsidR="00EC02A0">
        <w:rPr>
          <w:b w:val="0"/>
        </w:rPr>
        <w:t xml:space="preserve"> </w:t>
      </w:r>
      <w:r>
        <w:rPr>
          <w:b w:val="0"/>
        </w:rPr>
        <w:t>PJM interconnection queue request</w:t>
      </w:r>
      <w:r w:rsidR="00EC02A0">
        <w:rPr>
          <w:b w:val="0"/>
        </w:rPr>
        <w:t xml:space="preserve"> currently or </w:t>
      </w:r>
      <w:r w:rsidR="00DF1877">
        <w:rPr>
          <w:b w:val="0"/>
        </w:rPr>
        <w:t xml:space="preserve">a request </w:t>
      </w:r>
      <w:r w:rsidR="00EC02A0">
        <w:rPr>
          <w:b w:val="0"/>
        </w:rPr>
        <w:t>planned for the AH 2 queue</w:t>
      </w:r>
    </w:p>
    <w:p w:rsidR="00DF1877" w:rsidRDefault="00DF1877" w:rsidP="0062331A">
      <w:pPr>
        <w:pStyle w:val="SecondaryHeading-Numbered"/>
        <w:numPr>
          <w:ilvl w:val="0"/>
          <w:numId w:val="14"/>
        </w:numPr>
        <w:tabs>
          <w:tab w:val="clear" w:pos="0"/>
          <w:tab w:val="left" w:pos="360"/>
        </w:tabs>
        <w:rPr>
          <w:b w:val="0"/>
        </w:rPr>
      </w:pPr>
      <w:r>
        <w:rPr>
          <w:b w:val="0"/>
        </w:rPr>
        <w:t>Polling information will be sent to the IPRTF and PC email lists</w:t>
      </w:r>
    </w:p>
    <w:p w:rsidR="00DF1877" w:rsidRPr="00C348AD" w:rsidRDefault="00DF1877" w:rsidP="0062331A">
      <w:pPr>
        <w:pStyle w:val="SecondaryHeading-Numbered"/>
        <w:numPr>
          <w:ilvl w:val="0"/>
          <w:numId w:val="14"/>
        </w:numPr>
        <w:tabs>
          <w:tab w:val="clear" w:pos="0"/>
          <w:tab w:val="left" w:pos="360"/>
        </w:tabs>
        <w:rPr>
          <w:b w:val="0"/>
        </w:rPr>
      </w:pPr>
      <w:r>
        <w:rPr>
          <w:b w:val="0"/>
        </w:rPr>
        <w:t>You do not need to be on the IPRTF roster to participate in the poll</w:t>
      </w:r>
    </w:p>
    <w:p w:rsidR="00523C3B" w:rsidRPr="00DB29E9" w:rsidRDefault="009465E8" w:rsidP="00523C3B">
      <w:pPr>
        <w:pStyle w:val="PrimaryHeading"/>
      </w:pPr>
      <w:r>
        <w:t>CBIR Process (</w:t>
      </w:r>
      <w:r w:rsidR="00447E16">
        <w:t>9</w:t>
      </w:r>
      <w:r>
        <w:t>:1</w:t>
      </w:r>
      <w:r w:rsidR="00523C3B">
        <w:t xml:space="preserve">5 - </w:t>
      </w:r>
      <w:r w:rsidR="00447E16">
        <w:t>12</w:t>
      </w:r>
      <w:r w:rsidR="00523C3B">
        <w:t>:00)</w:t>
      </w:r>
    </w:p>
    <w:p w:rsidR="00126228" w:rsidRDefault="00126228" w:rsidP="005C7E76">
      <w:pPr>
        <w:pStyle w:val="SecondaryHeading-Numbered"/>
        <w:rPr>
          <w:b w:val="0"/>
        </w:rPr>
      </w:pPr>
      <w:r>
        <w:rPr>
          <w:b w:val="0"/>
        </w:rPr>
        <w:t xml:space="preserve">Jack Thomas, PJM, will </w:t>
      </w:r>
      <w:r w:rsidR="00805474">
        <w:rPr>
          <w:b w:val="0"/>
        </w:rPr>
        <w:t>continue the</w:t>
      </w:r>
      <w:r>
        <w:rPr>
          <w:b w:val="0"/>
        </w:rPr>
        <w:t xml:space="preserve"> discussion </w:t>
      </w:r>
      <w:r w:rsidR="00805474">
        <w:rPr>
          <w:b w:val="0"/>
        </w:rPr>
        <w:t>of</w:t>
      </w:r>
      <w:r>
        <w:rPr>
          <w:b w:val="0"/>
        </w:rPr>
        <w:t xml:space="preserve"> </w:t>
      </w:r>
      <w:r w:rsidR="00DE2853">
        <w:rPr>
          <w:b w:val="0"/>
        </w:rPr>
        <w:t>possible options</w:t>
      </w:r>
      <w:r w:rsidR="007051B0">
        <w:rPr>
          <w:b w:val="0"/>
        </w:rPr>
        <w:t xml:space="preserve"> to transition to a new interconnection process</w:t>
      </w:r>
      <w:r>
        <w:rPr>
          <w:b w:val="0"/>
        </w:rPr>
        <w:t>.</w:t>
      </w:r>
      <w:r w:rsidR="007051B0">
        <w:rPr>
          <w:b w:val="0"/>
        </w:rPr>
        <w:t xml:space="preserve">  </w:t>
      </w:r>
    </w:p>
    <w:p w:rsidR="0098211D" w:rsidRDefault="00646F74" w:rsidP="0098211D">
      <w:pPr>
        <w:pStyle w:val="PrimaryHeading"/>
      </w:pPr>
      <w:r>
        <w:t>Future Agenda Items</w:t>
      </w:r>
    </w:p>
    <w:p w:rsidR="0098211D" w:rsidRPr="00646F74" w:rsidRDefault="00646F74" w:rsidP="00646F74">
      <w:pPr>
        <w:pStyle w:val="SecondaryHeading-Numbered"/>
        <w:rPr>
          <w:b w:val="0"/>
        </w:rPr>
      </w:pPr>
      <w:r>
        <w:rPr>
          <w:b w:val="0"/>
        </w:rPr>
        <w:t>Participants will have the opportunity to suggest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98211D">
        <w:tc>
          <w:tcPr>
            <w:tcW w:w="9360" w:type="dxa"/>
            <w:gridSpan w:val="3"/>
          </w:tcPr>
          <w:p w:rsidR="00BB531B" w:rsidRDefault="00606F11" w:rsidP="00AC2247">
            <w:pPr>
              <w:pStyle w:val="PrimaryHeading"/>
              <w:ind w:left="-108"/>
            </w:pPr>
            <w:r>
              <w:lastRenderedPageBreak/>
              <w:t>Future Meeting Dates</w:t>
            </w:r>
          </w:p>
        </w:tc>
      </w:tr>
      <w:tr w:rsidR="00D107AE" w:rsidTr="0098211D">
        <w:tc>
          <w:tcPr>
            <w:tcW w:w="3118" w:type="dxa"/>
            <w:vAlign w:val="center"/>
          </w:tcPr>
          <w:p w:rsidR="00D107AE" w:rsidRDefault="00525E0A" w:rsidP="00D107AE">
            <w:pPr>
              <w:pStyle w:val="AttendeesList"/>
            </w:pPr>
            <w:r>
              <w:t>October 29</w:t>
            </w:r>
            <w:r w:rsidR="00D107AE">
              <w:t>, 2021</w:t>
            </w:r>
          </w:p>
        </w:tc>
        <w:tc>
          <w:tcPr>
            <w:tcW w:w="3114" w:type="dxa"/>
            <w:vAlign w:val="center"/>
          </w:tcPr>
          <w:p w:rsidR="00D107AE" w:rsidRDefault="00525E0A" w:rsidP="00D107AE">
            <w:pPr>
              <w:pStyle w:val="AttendeesList"/>
            </w:pPr>
            <w:r>
              <w:t>1:00 p.m. – 4</w:t>
            </w:r>
            <w:bookmarkStart w:id="2" w:name="_GoBack"/>
            <w:bookmarkEnd w:id="2"/>
            <w:r w:rsidR="00D107AE">
              <w:t>:00 p.m.</w:t>
            </w:r>
          </w:p>
        </w:tc>
        <w:tc>
          <w:tcPr>
            <w:tcW w:w="3128" w:type="dxa"/>
            <w:vAlign w:val="center"/>
          </w:tcPr>
          <w:p w:rsidR="00D107AE" w:rsidRDefault="00D107AE" w:rsidP="00D107AE">
            <w:pPr>
              <w:pStyle w:val="AttendeesList"/>
            </w:pPr>
            <w:proofErr w:type="spellStart"/>
            <w:r>
              <w:t>Webex</w:t>
            </w:r>
            <w:proofErr w:type="spellEnd"/>
          </w:p>
        </w:tc>
      </w:tr>
      <w:tr w:rsidR="00525E0A" w:rsidTr="0098211D">
        <w:tc>
          <w:tcPr>
            <w:tcW w:w="3118" w:type="dxa"/>
            <w:vAlign w:val="center"/>
          </w:tcPr>
          <w:p w:rsidR="00525E0A" w:rsidRDefault="00525E0A" w:rsidP="00525E0A">
            <w:pPr>
              <w:pStyle w:val="AttendeesList"/>
            </w:pPr>
            <w:r>
              <w:t>November 4, 2021</w:t>
            </w:r>
          </w:p>
        </w:tc>
        <w:tc>
          <w:tcPr>
            <w:tcW w:w="3114" w:type="dxa"/>
            <w:vAlign w:val="center"/>
          </w:tcPr>
          <w:p w:rsidR="00525E0A" w:rsidRDefault="00525E0A" w:rsidP="00525E0A">
            <w:pPr>
              <w:pStyle w:val="AttendeesList"/>
            </w:pPr>
            <w:r>
              <w:t>3:00 p.m. – 5:00 p.m.</w:t>
            </w:r>
          </w:p>
        </w:tc>
        <w:tc>
          <w:tcPr>
            <w:tcW w:w="3128" w:type="dxa"/>
            <w:vAlign w:val="center"/>
          </w:tcPr>
          <w:p w:rsidR="00525E0A" w:rsidRDefault="00525E0A" w:rsidP="00525E0A">
            <w:pPr>
              <w:pStyle w:val="AttendeesList"/>
            </w:pPr>
            <w:proofErr w:type="spellStart"/>
            <w:r>
              <w:t>Webex</w:t>
            </w:r>
            <w:proofErr w:type="spellEnd"/>
          </w:p>
        </w:tc>
      </w:tr>
      <w:tr w:rsidR="00525E0A" w:rsidTr="0098211D">
        <w:tc>
          <w:tcPr>
            <w:tcW w:w="3118" w:type="dxa"/>
            <w:vAlign w:val="center"/>
          </w:tcPr>
          <w:p w:rsidR="00525E0A" w:rsidRDefault="00525E0A" w:rsidP="00525E0A">
            <w:pPr>
              <w:pStyle w:val="AttendeesList"/>
            </w:pPr>
            <w:r>
              <w:t>November 18, 2021</w:t>
            </w:r>
          </w:p>
        </w:tc>
        <w:tc>
          <w:tcPr>
            <w:tcW w:w="3114" w:type="dxa"/>
            <w:vAlign w:val="center"/>
          </w:tcPr>
          <w:p w:rsidR="00525E0A" w:rsidRDefault="00525E0A" w:rsidP="00525E0A">
            <w:pPr>
              <w:pStyle w:val="AttendeesList"/>
            </w:pPr>
            <w:r>
              <w:t>11:00 a.m. – 1:00 p.m.</w:t>
            </w:r>
          </w:p>
        </w:tc>
        <w:tc>
          <w:tcPr>
            <w:tcW w:w="3128" w:type="dxa"/>
            <w:vAlign w:val="center"/>
          </w:tcPr>
          <w:p w:rsidR="00525E0A" w:rsidRDefault="00525E0A" w:rsidP="00525E0A">
            <w:pPr>
              <w:pStyle w:val="AttendeesList"/>
            </w:pPr>
            <w:proofErr w:type="spellStart"/>
            <w:r>
              <w:t>Webex</w:t>
            </w:r>
            <w:proofErr w:type="spellEnd"/>
          </w:p>
        </w:tc>
      </w:tr>
    </w:tbl>
    <w:p w:rsidR="00B62597" w:rsidRDefault="00882652" w:rsidP="00337321">
      <w:pPr>
        <w:pStyle w:val="Author"/>
      </w:pPr>
      <w:r>
        <w:t xml:space="preserve">Author: </w:t>
      </w:r>
      <w:r w:rsidR="0098211D">
        <w:t>Ed Kovler</w:t>
      </w:r>
    </w:p>
    <w:p w:rsidR="00A317A9" w:rsidRPr="00B62597" w:rsidRDefault="00A317A9" w:rsidP="00337321">
      <w:pPr>
        <w:pStyle w:val="Author"/>
      </w:pPr>
    </w:p>
    <w:p w:rsidR="00750B00" w:rsidRDefault="00750B00" w:rsidP="00DB29E9">
      <w:pPr>
        <w:pStyle w:val="DisclaimerHeading"/>
      </w:pPr>
    </w:p>
    <w:p w:rsidR="00750B00" w:rsidRDefault="00750B00"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588F">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570689" w:rsidRDefault="00570689" w:rsidP="00027F49">
      <w:pPr>
        <w:pStyle w:val="DisclaimerHeading"/>
        <w:spacing w:before="240"/>
      </w:pP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w:lastRenderedPageBreak/>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E12" w:rsidRDefault="00F24E12" w:rsidP="00B62597">
      <w:pPr>
        <w:spacing w:after="0" w:line="240" w:lineRule="auto"/>
      </w:pPr>
      <w:r>
        <w:separator/>
      </w:r>
    </w:p>
  </w:endnote>
  <w:endnote w:type="continuationSeparator" w:id="0">
    <w:p w:rsidR="00F24E12" w:rsidRDefault="00F24E1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525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25E0A">
      <w:rPr>
        <w:rStyle w:val="PageNumber"/>
        <w:noProof/>
      </w:rPr>
      <w:t>3</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0F21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For Public Use</w:t>
    </w:r>
    <w:r w:rsidR="0033588F">
      <w:rPr>
        <w:rFonts w:ascii="Arial Narrow" w:hAnsi="Arial Narrow"/>
        <w:sz w:val="20"/>
      </w:rPr>
      <w:t xml:space="preserve"> -</w:t>
    </w:r>
    <w:r w:rsidR="0098211D">
      <w:rPr>
        <w:rFonts w:ascii="Arial Narrow" w:hAnsi="Arial Narrow"/>
        <w:sz w:val="20"/>
      </w:rPr>
      <w:t xml:space="preserve"> IPRTF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E12" w:rsidRDefault="00F24E12" w:rsidP="00B62597">
      <w:pPr>
        <w:spacing w:after="0" w:line="240" w:lineRule="auto"/>
      </w:pPr>
      <w:r>
        <w:separator/>
      </w:r>
    </w:p>
  </w:footnote>
  <w:footnote w:type="continuationSeparator" w:id="0">
    <w:p w:rsidR="00F24E12" w:rsidRDefault="00F24E12"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805474">
      <w:t>October 13</w:t>
    </w:r>
    <w:r w:rsidR="00711249">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737E6"/>
    <w:multiLevelType w:val="hybridMultilevel"/>
    <w:tmpl w:val="563E20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4"/>
    <w:lvlOverride w:ilvl="0">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34"/>
    <w:rsid w:val="00010057"/>
    <w:rsid w:val="000232DF"/>
    <w:rsid w:val="00027F49"/>
    <w:rsid w:val="000333FF"/>
    <w:rsid w:val="00043D8B"/>
    <w:rsid w:val="00050038"/>
    <w:rsid w:val="0005272F"/>
    <w:rsid w:val="0006798D"/>
    <w:rsid w:val="00092135"/>
    <w:rsid w:val="000B13CB"/>
    <w:rsid w:val="00117AF9"/>
    <w:rsid w:val="00121F58"/>
    <w:rsid w:val="00126228"/>
    <w:rsid w:val="001678E8"/>
    <w:rsid w:val="00183D94"/>
    <w:rsid w:val="00194F20"/>
    <w:rsid w:val="001B2242"/>
    <w:rsid w:val="001C0CC0"/>
    <w:rsid w:val="001D3B68"/>
    <w:rsid w:val="002113BD"/>
    <w:rsid w:val="00262026"/>
    <w:rsid w:val="002A3560"/>
    <w:rsid w:val="002B2F98"/>
    <w:rsid w:val="002C6057"/>
    <w:rsid w:val="003036B5"/>
    <w:rsid w:val="00305238"/>
    <w:rsid w:val="003251CE"/>
    <w:rsid w:val="0033588F"/>
    <w:rsid w:val="00337321"/>
    <w:rsid w:val="00394850"/>
    <w:rsid w:val="003B55E1"/>
    <w:rsid w:val="003D7E5C"/>
    <w:rsid w:val="003E7A73"/>
    <w:rsid w:val="00447E16"/>
    <w:rsid w:val="0046043F"/>
    <w:rsid w:val="00471A2C"/>
    <w:rsid w:val="00491490"/>
    <w:rsid w:val="00494494"/>
    <w:rsid w:val="004969FA"/>
    <w:rsid w:val="00523C3B"/>
    <w:rsid w:val="00525E0A"/>
    <w:rsid w:val="00527104"/>
    <w:rsid w:val="00564DEE"/>
    <w:rsid w:val="00570689"/>
    <w:rsid w:val="0057441E"/>
    <w:rsid w:val="005947BF"/>
    <w:rsid w:val="005A5D0D"/>
    <w:rsid w:val="005B0F16"/>
    <w:rsid w:val="005C6832"/>
    <w:rsid w:val="005C7E76"/>
    <w:rsid w:val="005D05A2"/>
    <w:rsid w:val="005D6D05"/>
    <w:rsid w:val="006024A0"/>
    <w:rsid w:val="00602967"/>
    <w:rsid w:val="00606F11"/>
    <w:rsid w:val="0062331A"/>
    <w:rsid w:val="00624083"/>
    <w:rsid w:val="00646F74"/>
    <w:rsid w:val="006E33AB"/>
    <w:rsid w:val="006F7A52"/>
    <w:rsid w:val="007051B0"/>
    <w:rsid w:val="00711249"/>
    <w:rsid w:val="00712CAA"/>
    <w:rsid w:val="00716A8B"/>
    <w:rsid w:val="00730F76"/>
    <w:rsid w:val="00744A45"/>
    <w:rsid w:val="00750B00"/>
    <w:rsid w:val="00754C6D"/>
    <w:rsid w:val="00755096"/>
    <w:rsid w:val="007703B4"/>
    <w:rsid w:val="007A34A3"/>
    <w:rsid w:val="007C0830"/>
    <w:rsid w:val="007C2954"/>
    <w:rsid w:val="007D0EB8"/>
    <w:rsid w:val="007D4F70"/>
    <w:rsid w:val="007E7CAB"/>
    <w:rsid w:val="00805474"/>
    <w:rsid w:val="0082227F"/>
    <w:rsid w:val="00837B12"/>
    <w:rsid w:val="00841282"/>
    <w:rsid w:val="008552A3"/>
    <w:rsid w:val="00862401"/>
    <w:rsid w:val="00871AC9"/>
    <w:rsid w:val="00882652"/>
    <w:rsid w:val="0088625B"/>
    <w:rsid w:val="0089247D"/>
    <w:rsid w:val="00901A3E"/>
    <w:rsid w:val="00917386"/>
    <w:rsid w:val="009465E8"/>
    <w:rsid w:val="00967C79"/>
    <w:rsid w:val="0098211D"/>
    <w:rsid w:val="00991528"/>
    <w:rsid w:val="009A5430"/>
    <w:rsid w:val="009B0AE7"/>
    <w:rsid w:val="009C15C4"/>
    <w:rsid w:val="009F53F9"/>
    <w:rsid w:val="00A05391"/>
    <w:rsid w:val="00A2146C"/>
    <w:rsid w:val="00A24615"/>
    <w:rsid w:val="00A317A9"/>
    <w:rsid w:val="00A41149"/>
    <w:rsid w:val="00A84E2E"/>
    <w:rsid w:val="00AC2247"/>
    <w:rsid w:val="00B16D95"/>
    <w:rsid w:val="00B20316"/>
    <w:rsid w:val="00B34E3C"/>
    <w:rsid w:val="00B62597"/>
    <w:rsid w:val="00B73EFF"/>
    <w:rsid w:val="00BA6146"/>
    <w:rsid w:val="00BB531B"/>
    <w:rsid w:val="00BF331B"/>
    <w:rsid w:val="00C01F3E"/>
    <w:rsid w:val="00C348AD"/>
    <w:rsid w:val="00C439EC"/>
    <w:rsid w:val="00C5307B"/>
    <w:rsid w:val="00C72168"/>
    <w:rsid w:val="00C757F4"/>
    <w:rsid w:val="00C75A9D"/>
    <w:rsid w:val="00CA49B9"/>
    <w:rsid w:val="00CB19DE"/>
    <w:rsid w:val="00CB475B"/>
    <w:rsid w:val="00CC1B47"/>
    <w:rsid w:val="00CF709B"/>
    <w:rsid w:val="00D06EC8"/>
    <w:rsid w:val="00D107AE"/>
    <w:rsid w:val="00D136EA"/>
    <w:rsid w:val="00D251ED"/>
    <w:rsid w:val="00D831E4"/>
    <w:rsid w:val="00D95949"/>
    <w:rsid w:val="00DA203C"/>
    <w:rsid w:val="00DB29E9"/>
    <w:rsid w:val="00DE2853"/>
    <w:rsid w:val="00DE34CF"/>
    <w:rsid w:val="00DF1877"/>
    <w:rsid w:val="00DF6FF0"/>
    <w:rsid w:val="00E10095"/>
    <w:rsid w:val="00E32B6B"/>
    <w:rsid w:val="00E339E4"/>
    <w:rsid w:val="00E51071"/>
    <w:rsid w:val="00E5387A"/>
    <w:rsid w:val="00E55E84"/>
    <w:rsid w:val="00EB68B0"/>
    <w:rsid w:val="00EC02A0"/>
    <w:rsid w:val="00EF0834"/>
    <w:rsid w:val="00F053EB"/>
    <w:rsid w:val="00F111DE"/>
    <w:rsid w:val="00F24E12"/>
    <w:rsid w:val="00F4190F"/>
    <w:rsid w:val="00F5077C"/>
    <w:rsid w:val="00F6676A"/>
    <w:rsid w:val="00F87784"/>
    <w:rsid w:val="00FC2B9A"/>
    <w:rsid w:val="00FC37F6"/>
    <w:rsid w:val="00FD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8DFC38"/>
  <w15:docId w15:val="{8F078E63-9759-45FA-9192-41AAD00F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ovler\Downloads\Agenda%20-%2004.23.2021%20-%20IPRTF.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- 04.23.2021 - IPRTF</Template>
  <TotalTime>377</TotalTime>
  <Pages>3</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 Kovler</dc:creator>
  <cp:lastModifiedBy>Thomas, Jack</cp:lastModifiedBy>
  <cp:revision>51</cp:revision>
  <cp:lastPrinted>2015-02-05T19:57:00Z</cp:lastPrinted>
  <dcterms:created xsi:type="dcterms:W3CDTF">2021-04-08T14:33:00Z</dcterms:created>
  <dcterms:modified xsi:type="dcterms:W3CDTF">2021-10-14T19:29:00Z</dcterms:modified>
</cp:coreProperties>
</file>