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 xml:space="preserve">June </w:t>
      </w:r>
      <w:r w:rsidR="003325DF">
        <w:t>2</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9B5FD1">
        <w:rPr>
          <w:b w:val="0"/>
        </w:rPr>
        <w:t xml:space="preserve">April </w:t>
      </w:r>
      <w:r w:rsidR="009F4F40">
        <w:rPr>
          <w:b w:val="0"/>
        </w:rPr>
        <w:t>27</w:t>
      </w:r>
      <w:r w:rsidRPr="009B5FD1" w:rsidR="009B5FD1">
        <w:rPr>
          <w:b w:val="0"/>
          <w:vertAlign w:val="superscript"/>
        </w:rPr>
        <w:t>th</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9F4F40">
        <w:rPr>
          <w:b w:val="0"/>
        </w:rPr>
        <w:t>May</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 xml:space="preserve">est and upcoming </w:t>
      </w:r>
      <w:r w:rsidR="00805405">
        <w:rPr>
          <w:b w:val="0"/>
        </w:rPr>
        <w:t>eDART</w:t>
      </w:r>
      <w:r w:rsidR="00805405">
        <w:rPr>
          <w:b w:val="0"/>
        </w:rPr>
        <w:t xml:space="preserve">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DF5B54" w:rsidP="00DF5B54">
      <w:pPr>
        <w:pStyle w:val="PrimaryHeading"/>
      </w:pPr>
      <w:r>
        <w:t>Manual Updates (9:35-9:45)</w:t>
      </w:r>
    </w:p>
    <w:p w:rsidR="00DF5B54" w:rsidRPr="00766477" w:rsidP="00DF5B54">
      <w:pPr>
        <w:pStyle w:val="ListSubhead1"/>
        <w:numPr>
          <w:ilvl w:val="0"/>
          <w:numId w:val="14"/>
        </w:numPr>
        <w:rPr>
          <w:b w:val="0"/>
          <w:strike/>
        </w:rPr>
      </w:pPr>
      <w:r w:rsidRPr="00766477">
        <w:rPr>
          <w:b w:val="0"/>
          <w:strike/>
          <w:color w:val="FF0000"/>
        </w:rPr>
        <w:t>Ryan Nice will perform a first read on changes associated with Manual 1, Rev XX.</w:t>
      </w:r>
    </w:p>
    <w:p w:rsidR="00DF5B54" w:rsidP="00DF5B54">
      <w:pPr>
        <w:pStyle w:val="ListSubhead1"/>
        <w:numPr>
          <w:ilvl w:val="0"/>
          <w:numId w:val="14"/>
        </w:numPr>
        <w:rPr>
          <w:b w:val="0"/>
        </w:rPr>
      </w:pPr>
      <w:r>
        <w:rPr>
          <w:b w:val="0"/>
        </w:rPr>
        <w:t>Frank Hartman</w:t>
      </w:r>
      <w:r w:rsidRPr="00D27004">
        <w:rPr>
          <w:b w:val="0"/>
        </w:rPr>
        <w:t xml:space="preserve"> will perform a first read on changes associated with Manual </w:t>
      </w:r>
      <w:r>
        <w:rPr>
          <w:b w:val="0"/>
        </w:rPr>
        <w:t>13,</w:t>
      </w:r>
      <w:r w:rsidRPr="00D27004">
        <w:rPr>
          <w:b w:val="0"/>
        </w:rPr>
        <w:t xml:space="preserve"> Rev </w:t>
      </w:r>
      <w:r w:rsidR="009D1465">
        <w:rPr>
          <w:b w:val="0"/>
        </w:rPr>
        <w:t>89</w:t>
      </w:r>
      <w:r>
        <w:rPr>
          <w:b w:val="0"/>
        </w:rPr>
        <w:t>.</w:t>
      </w:r>
    </w:p>
    <w:p w:rsidR="008F41EF" w:rsidP="008F41EF">
      <w:pPr>
        <w:pStyle w:val="PrimaryHeading"/>
      </w:pPr>
      <w:r>
        <w:t>Additional Items (9:4</w:t>
      </w:r>
      <w:r>
        <w:t>5-</w:t>
      </w:r>
      <w:r>
        <w:t>10</w:t>
      </w:r>
      <w:r>
        <w:t>:</w:t>
      </w:r>
      <w:r>
        <w:t>10</w:t>
      </w:r>
      <w:r>
        <w:t>)</w:t>
      </w:r>
      <w:bookmarkStart w:id="2" w:name="_GoBack"/>
      <w:bookmarkEnd w:id="2"/>
    </w:p>
    <w:p w:rsidR="008F41EF" w:rsidP="008F41EF">
      <w:pPr>
        <w:pStyle w:val="ListSubhead1"/>
        <w:numPr>
          <w:ilvl w:val="0"/>
          <w:numId w:val="14"/>
        </w:numPr>
        <w:rPr>
          <w:b w:val="0"/>
        </w:rPr>
      </w:pPr>
      <w:r>
        <w:rPr>
          <w:b w:val="0"/>
        </w:rPr>
        <w:t>Ray Lee</w:t>
      </w:r>
      <w:r w:rsidRPr="008F41EF">
        <w:rPr>
          <w:b w:val="0"/>
        </w:rPr>
        <w:t xml:space="preserve"> will provide a refresh</w:t>
      </w:r>
      <w:r>
        <w:rPr>
          <w:b w:val="0"/>
        </w:rPr>
        <w:t>er on unit limitation reporting.</w:t>
      </w:r>
    </w:p>
    <w:p w:rsidR="008F41EF" w:rsidP="00150D46">
      <w:pPr>
        <w:pStyle w:val="ListSubhead1"/>
        <w:numPr>
          <w:ilvl w:val="0"/>
          <w:numId w:val="14"/>
        </w:numPr>
        <w:rPr>
          <w:b w:val="0"/>
        </w:rPr>
      </w:pPr>
      <w:r>
        <w:rPr>
          <w:b w:val="0"/>
        </w:rPr>
        <w:t xml:space="preserve">Lagy Mathew to review </w:t>
      </w:r>
      <w:r w:rsidR="003F1176">
        <w:rPr>
          <w:b w:val="0"/>
        </w:rPr>
        <w:t xml:space="preserve">transmission outages occurring during </w:t>
      </w:r>
      <w:r w:rsidR="003F1176">
        <w:rPr>
          <w:b w:val="0"/>
        </w:rPr>
        <w:t>Summer</w:t>
      </w:r>
      <w:r>
        <w:rPr>
          <w:b w:val="0"/>
        </w:rPr>
        <w:t xml:space="preserve"> 2023.</w:t>
      </w:r>
    </w:p>
    <w:p w:rsidR="00351B9B" w:rsidP="00351B9B">
      <w:pPr>
        <w:pStyle w:val="ListSubhead1"/>
        <w:numPr>
          <w:ilvl w:val="0"/>
          <w:numId w:val="14"/>
        </w:numPr>
        <w:rPr>
          <w:b w:val="0"/>
        </w:rPr>
      </w:pPr>
      <w:r w:rsidRPr="00351B9B">
        <w:rPr>
          <w:b w:val="0"/>
        </w:rPr>
        <w:t>Dean Manno will provide an informational review of the M-03B revision process</w:t>
      </w:r>
      <w:r>
        <w:rPr>
          <w:b w:val="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tcPr>
          <w:p w:rsidR="00676BF2" w:rsidP="003E1D96">
            <w:pPr>
              <w:pStyle w:val="AttendeesList"/>
            </w:pPr>
            <w:r>
              <w:t>July 6,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August 2,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244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42053"/>
    <w:rsid w:val="0025093C"/>
    <w:rsid w:val="0025139E"/>
    <w:rsid w:val="00251618"/>
    <w:rsid w:val="002761EA"/>
    <w:rsid w:val="00277266"/>
    <w:rsid w:val="002866C8"/>
    <w:rsid w:val="00286CE6"/>
    <w:rsid w:val="00296DCD"/>
    <w:rsid w:val="002A5A19"/>
    <w:rsid w:val="002B2F98"/>
    <w:rsid w:val="002C39FD"/>
    <w:rsid w:val="002C6057"/>
    <w:rsid w:val="00305238"/>
    <w:rsid w:val="003079A7"/>
    <w:rsid w:val="00307DF6"/>
    <w:rsid w:val="003145E5"/>
    <w:rsid w:val="0032165E"/>
    <w:rsid w:val="003251CE"/>
    <w:rsid w:val="003277C4"/>
    <w:rsid w:val="003325DF"/>
    <w:rsid w:val="00337321"/>
    <w:rsid w:val="00351A19"/>
    <w:rsid w:val="00351B9B"/>
    <w:rsid w:val="00361CE0"/>
    <w:rsid w:val="00366772"/>
    <w:rsid w:val="0038444B"/>
    <w:rsid w:val="003A33FF"/>
    <w:rsid w:val="003A5FC2"/>
    <w:rsid w:val="003B55E1"/>
    <w:rsid w:val="003C17E2"/>
    <w:rsid w:val="003C7D44"/>
    <w:rsid w:val="003D0205"/>
    <w:rsid w:val="003D7E5C"/>
    <w:rsid w:val="003E0189"/>
    <w:rsid w:val="003E1D96"/>
    <w:rsid w:val="003E7A73"/>
    <w:rsid w:val="003F1176"/>
    <w:rsid w:val="003F27E1"/>
    <w:rsid w:val="0040513F"/>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0D67"/>
    <w:rsid w:val="004E3ECB"/>
    <w:rsid w:val="004E7D59"/>
    <w:rsid w:val="004F6CEF"/>
    <w:rsid w:val="00500708"/>
    <w:rsid w:val="00502498"/>
    <w:rsid w:val="00514D42"/>
    <w:rsid w:val="00523EA7"/>
    <w:rsid w:val="00527104"/>
    <w:rsid w:val="005335FD"/>
    <w:rsid w:val="005452F1"/>
    <w:rsid w:val="005466EF"/>
    <w:rsid w:val="00546C52"/>
    <w:rsid w:val="00553357"/>
    <w:rsid w:val="00561B98"/>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66477"/>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8E14EC"/>
    <w:rsid w:val="008F41EF"/>
    <w:rsid w:val="0091734D"/>
    <w:rsid w:val="00917386"/>
    <w:rsid w:val="00985ACA"/>
    <w:rsid w:val="00987F19"/>
    <w:rsid w:val="00991528"/>
    <w:rsid w:val="009950AB"/>
    <w:rsid w:val="009A006D"/>
    <w:rsid w:val="009A3DF5"/>
    <w:rsid w:val="009A5430"/>
    <w:rsid w:val="009A7EC0"/>
    <w:rsid w:val="009B5FD1"/>
    <w:rsid w:val="009C15C4"/>
    <w:rsid w:val="009C75C5"/>
    <w:rsid w:val="009D0487"/>
    <w:rsid w:val="009D1465"/>
    <w:rsid w:val="009E4DC6"/>
    <w:rsid w:val="009F4F40"/>
    <w:rsid w:val="009F53F9"/>
    <w:rsid w:val="00A02196"/>
    <w:rsid w:val="00A031D0"/>
    <w:rsid w:val="00A04AD7"/>
    <w:rsid w:val="00A05391"/>
    <w:rsid w:val="00A26C03"/>
    <w:rsid w:val="00A317A9"/>
    <w:rsid w:val="00A36157"/>
    <w:rsid w:val="00A41149"/>
    <w:rsid w:val="00A42857"/>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026B"/>
    <w:rsid w:val="00B61EA4"/>
    <w:rsid w:val="00B62597"/>
    <w:rsid w:val="00B66E7E"/>
    <w:rsid w:val="00B7765D"/>
    <w:rsid w:val="00B833EF"/>
    <w:rsid w:val="00BA462A"/>
    <w:rsid w:val="00BA58CC"/>
    <w:rsid w:val="00BA6146"/>
    <w:rsid w:val="00BB531B"/>
    <w:rsid w:val="00BE3016"/>
    <w:rsid w:val="00BF331B"/>
    <w:rsid w:val="00C06712"/>
    <w:rsid w:val="00C1765F"/>
    <w:rsid w:val="00C25459"/>
    <w:rsid w:val="00C439EC"/>
    <w:rsid w:val="00C5307B"/>
    <w:rsid w:val="00C72168"/>
    <w:rsid w:val="00C757F4"/>
    <w:rsid w:val="00C75A9D"/>
    <w:rsid w:val="00C92448"/>
    <w:rsid w:val="00C93A03"/>
    <w:rsid w:val="00C964AA"/>
    <w:rsid w:val="00CA49B9"/>
    <w:rsid w:val="00CA7B45"/>
    <w:rsid w:val="00CB19DE"/>
    <w:rsid w:val="00CB475B"/>
    <w:rsid w:val="00CC1B47"/>
    <w:rsid w:val="00CC5E7D"/>
    <w:rsid w:val="00CF3E1B"/>
    <w:rsid w:val="00CF4423"/>
    <w:rsid w:val="00D03BCF"/>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DF5B54"/>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7E1BE5"/>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88D7-E067-4936-9DEA-2512BB38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