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8D6CD8" w:rsidP="008D6CD8">
      <w:pPr>
        <w:pStyle w:val="MeetingDetails"/>
      </w:pPr>
      <w:r>
        <w:t>January</w:t>
      </w:r>
      <w:r w:rsidR="005051BB">
        <w:t xml:space="preserve"> </w:t>
      </w:r>
      <w:r>
        <w:t>16</w:t>
      </w:r>
      <w:r w:rsidR="00837E78">
        <w:t>,</w:t>
      </w:r>
      <w:r w:rsidR="002B2F98">
        <w:t xml:space="preserve"> </w:t>
      </w:r>
      <w:r>
        <w:t>2024</w:t>
      </w:r>
      <w:r w:rsidR="008D6CD8">
        <w:t xml:space="preserve"> (Canceled)</w:t>
      </w:r>
      <w:r w:rsidR="00453611">
        <w:tab/>
      </w:r>
    </w:p>
    <w:p w:rsidR="00B62597" w:rsidRPr="00B62597" w:rsidP="00B62597">
      <w:pPr>
        <w:spacing w:after="0" w:line="240" w:lineRule="auto"/>
        <w:rPr>
          <w:rFonts w:ascii="Arial Narrow" w:eastAsia="Times New Roman" w:hAnsi="Arial Narrow" w:cs="Times New Roman"/>
          <w:sz w:val="24"/>
          <w:szCs w:val="20"/>
        </w:rPr>
      </w:pPr>
    </w:p>
    <w:p w:rsidR="00F7443D" w:rsidRPr="00DB29E9" w:rsidP="00F7443D">
      <w:pPr>
        <w:pStyle w:val="PrimaryHeading"/>
      </w:pPr>
      <w:r>
        <w:t>Informational Updates</w:t>
      </w:r>
    </w:p>
    <w:p w:rsidR="00EA027A" w:rsidRPr="00D77189" w:rsidP="00D77189">
      <w:pPr>
        <w:pStyle w:val="ListParagraph"/>
        <w:numPr>
          <w:ilvl w:val="0"/>
          <w:numId w:val="21"/>
        </w:numPr>
        <w:ind w:left="360"/>
        <w:contextualSpacing w:val="0"/>
        <w:rPr>
          <w:rFonts w:ascii="Arial Narrow" w:eastAsia="Times New Roman" w:hAnsi="Arial Narrow" w:cs="Times New Roman"/>
          <w:b/>
          <w:sz w:val="24"/>
        </w:rPr>
      </w:pPr>
      <w:r>
        <w:rPr>
          <w:rFonts w:ascii="Arial Narrow" w:eastAsia="Times New Roman" w:hAnsi="Arial Narrow" w:cs="Times New Roman"/>
          <w:b/>
          <w:sz w:val="24"/>
        </w:rPr>
        <w:t>Winter Storm Elliott PAI Settlement Agreement</w:t>
      </w:r>
    </w:p>
    <w:p w:rsidR="00D8710C" w:rsidP="00D77189">
      <w:pPr>
        <w:pStyle w:val="ListParagraph"/>
        <w:ind w:left="403"/>
        <w:contextualSpacing w:val="0"/>
        <w:rPr>
          <w:rFonts w:ascii="Arial Narrow" w:hAnsi="Arial Narrow" w:cs="Calibri"/>
        </w:rPr>
      </w:pPr>
      <w:r>
        <w:rPr>
          <w:rFonts w:ascii="Arial Narrow" w:hAnsi="Arial Narrow" w:cs="Calibri"/>
        </w:rPr>
        <w:t xml:space="preserve">On December 19, 2023, FERC </w:t>
      </w:r>
      <w:hyperlink r:id="rId4" w:history="1">
        <w:r w:rsidRPr="00F31875">
          <w:rPr>
            <w:rStyle w:val="Hyperlink"/>
            <w:rFonts w:ascii="Arial Narrow" w:hAnsi="Arial Narrow" w:cs="Calibri"/>
          </w:rPr>
          <w:t>approved</w:t>
        </w:r>
      </w:hyperlink>
      <w:r>
        <w:rPr>
          <w:rFonts w:ascii="Arial Narrow" w:hAnsi="Arial Narrow" w:cs="Calibri"/>
        </w:rPr>
        <w:t xml:space="preserve"> a settlement package between PJM and 81 other settling parties regarding non-performance charges assessed by PJM during </w:t>
      </w:r>
      <w:hyperlink r:id="rId5" w:history="1">
        <w:r w:rsidRPr="00F31875">
          <w:rPr>
            <w:rStyle w:val="Hyperlink"/>
            <w:rFonts w:ascii="Arial Narrow" w:hAnsi="Arial Narrow" w:cs="Calibri"/>
          </w:rPr>
          <w:t>Winter Storm Elliott</w:t>
        </w:r>
      </w:hyperlink>
      <w:r w:rsidR="00EA027A">
        <w:rPr>
          <w:rFonts w:ascii="Arial Narrow" w:hAnsi="Arial Narrow" w:cs="Calibri"/>
        </w:rPr>
        <w:t>.</w:t>
      </w:r>
      <w:r w:rsidR="008D6CD8">
        <w:rPr>
          <w:rFonts w:ascii="Arial Narrow" w:hAnsi="Arial Narrow" w:cs="Calibri"/>
        </w:rPr>
        <w:t xml:space="preserve">  </w:t>
      </w:r>
    </w:p>
    <w:p w:rsidR="00F31875" w:rsidP="00D77189">
      <w:pPr>
        <w:pStyle w:val="ListParagraph"/>
        <w:ind w:left="403"/>
        <w:contextualSpacing w:val="0"/>
        <w:rPr>
          <w:rFonts w:ascii="Arial Narrow" w:hAnsi="Arial Narrow" w:cs="Calibri"/>
        </w:rPr>
      </w:pPr>
      <w:r>
        <w:rPr>
          <w:rFonts w:ascii="Arial Narrow" w:hAnsi="Arial Narrow" w:cs="Calibri"/>
        </w:rPr>
        <w:t>Please review the following materials regarding the settlement approval and impacts:</w:t>
      </w:r>
    </w:p>
    <w:p w:rsidR="00F31875" w:rsidP="00D77189">
      <w:pPr>
        <w:pStyle w:val="ListParagraph"/>
        <w:ind w:left="403"/>
        <w:contextualSpacing w:val="0"/>
        <w:rPr>
          <w:rFonts w:ascii="Arial Narrow" w:hAnsi="Arial Narrow" w:cs="Calibri"/>
        </w:rPr>
      </w:pPr>
      <w:hyperlink r:id="rId6" w:history="1">
        <w:r w:rsidRPr="00F31875">
          <w:rPr>
            <w:rStyle w:val="Hyperlink"/>
            <w:rFonts w:ascii="Arial Narrow" w:hAnsi="Arial Narrow" w:cs="Calibri"/>
          </w:rPr>
          <w:t>FERC Settlement FAQ</w:t>
        </w:r>
      </w:hyperlink>
      <w:r w:rsidR="007849E3">
        <w:rPr>
          <w:rFonts w:ascii="Arial Narrow" w:hAnsi="Arial Narrow" w:cs="Calibri"/>
        </w:rPr>
        <w:t xml:space="preserve"> – this document </w:t>
      </w:r>
      <w:r w:rsidR="00C10306">
        <w:rPr>
          <w:rFonts w:ascii="Arial Narrow" w:hAnsi="Arial Narrow" w:cs="Calibri"/>
        </w:rPr>
        <w:t>c</w:t>
      </w:r>
      <w:r w:rsidRPr="007849E3" w:rsidR="007849E3">
        <w:rPr>
          <w:rFonts w:ascii="Arial Narrow" w:hAnsi="Arial Narrow" w:cs="Calibri"/>
        </w:rPr>
        <w:t>ontains answers to several billing and credit/collateral related questions and provides processing timeline information</w:t>
      </w:r>
      <w:r w:rsidR="007849E3">
        <w:rPr>
          <w:rFonts w:ascii="Arial Narrow" w:hAnsi="Arial Narrow" w:cs="Calibri"/>
        </w:rPr>
        <w:t>.</w:t>
      </w:r>
    </w:p>
    <w:p w:rsidR="00F31875" w:rsidP="00D77189">
      <w:pPr>
        <w:pStyle w:val="ListParagraph"/>
        <w:ind w:left="403"/>
        <w:contextualSpacing w:val="0"/>
        <w:rPr>
          <w:rFonts w:ascii="Arial Narrow" w:hAnsi="Arial Narrow" w:cs="Calibri"/>
        </w:rPr>
      </w:pPr>
      <w:hyperlink r:id="rId7" w:history="1">
        <w:r w:rsidRPr="00F31875">
          <w:rPr>
            <w:rStyle w:val="Hyperlink"/>
            <w:rFonts w:ascii="Arial Narrow" w:hAnsi="Arial Narrow" w:cs="Calibri"/>
          </w:rPr>
          <w:t>Settlement Reduced Non-Performance Assessment Charges and Credits</w:t>
        </w:r>
      </w:hyperlink>
      <w:r>
        <w:rPr>
          <w:rFonts w:ascii="Arial Narrow" w:hAnsi="Arial Narrow" w:cs="Calibri"/>
        </w:rPr>
        <w:t xml:space="preserve"> – this spreadsheet contains an estimate of the reduced non-performance charges and bonus credits for the event under the terms of the Settlement Agreement.</w:t>
      </w:r>
    </w:p>
    <w:p w:rsidR="00F31875" w:rsidP="00D77189">
      <w:pPr>
        <w:pStyle w:val="ListParagraph"/>
        <w:ind w:left="403"/>
        <w:contextualSpacing w:val="0"/>
        <w:rPr>
          <w:rFonts w:ascii="Arial Narrow" w:hAnsi="Arial Narrow" w:cs="Calibri"/>
        </w:rPr>
      </w:pPr>
      <w:r>
        <w:rPr>
          <w:rFonts w:ascii="Arial Narrow" w:hAnsi="Arial Narrow" w:cs="Calibri"/>
        </w:rPr>
        <w:t xml:space="preserve">PJM will implement the Settlement Agreement updates and also complete the 3 months of PAI billing that were suspended per the waiver in FERC Docket No. EL23-53, et al. in the February 2024 monthly billing statement. </w:t>
      </w:r>
    </w:p>
    <w:p w:rsidR="00D77189" w:rsidP="00F31875">
      <w:pPr>
        <w:pStyle w:val="ListSubhead1"/>
        <w:numPr>
          <w:ilvl w:val="0"/>
          <w:numId w:val="0"/>
        </w:numPr>
      </w:pPr>
      <w:r>
        <w:t>2.</w:t>
      </w:r>
      <w:r w:rsidRPr="002C418F" w:rsidR="008D6CD8">
        <w:t xml:space="preserve"> </w:t>
      </w:r>
      <w:r w:rsidR="00C45666">
        <w:t xml:space="preserve">  </w:t>
      </w:r>
      <w:r w:rsidR="00F867EA">
        <w:t>Upcoming MSRS report changes</w:t>
      </w:r>
    </w:p>
    <w:p w:rsidR="00D77189" w:rsidRPr="004030D2" w:rsidP="00D77189">
      <w:pPr>
        <w:pStyle w:val="ListSubhead1"/>
        <w:numPr>
          <w:ilvl w:val="0"/>
          <w:numId w:val="0"/>
        </w:numPr>
        <w:ind w:left="360"/>
        <w:rPr>
          <w:b w:val="0"/>
          <w:sz w:val="22"/>
        </w:rPr>
      </w:pPr>
      <w:r w:rsidRPr="004030D2">
        <w:rPr>
          <w:b w:val="0"/>
          <w:sz w:val="22"/>
        </w:rPr>
        <w:t>Please review details regarding upcoming MSRS Report column name changes for the Operating Reserve Generator Deviations – 5 Minute report.  Additionally, report documentation will be updated for the Balancing Operating Reserve Generator Credit Details report.</w:t>
      </w:r>
    </w:p>
    <w:p w:rsidR="000044D5" w:rsidRPr="00F867EA" w:rsidP="00D77189">
      <w:pPr>
        <w:pStyle w:val="ListSubhead1"/>
        <w:numPr>
          <w:ilvl w:val="0"/>
          <w:numId w:val="0"/>
        </w:numPr>
        <w:ind w:left="360"/>
        <w:rPr>
          <w:b w:val="0"/>
        </w:rPr>
      </w:pPr>
      <w:hyperlink r:id="rId8" w:history="1">
        <w:r w:rsidRPr="004030D2" w:rsidR="00836A8E">
          <w:rPr>
            <w:rStyle w:val="Hyperlink"/>
            <w:b w:val="0"/>
            <w:sz w:val="22"/>
          </w:rPr>
          <w:t>MSRS Report Updates</w:t>
        </w:r>
      </w:hyperlink>
    </w:p>
    <w:p w:rsidR="00F867EA" w:rsidP="00F867EA">
      <w:pPr>
        <w:pStyle w:val="ListSubhead1"/>
        <w:numPr>
          <w:ilvl w:val="0"/>
          <w:numId w:val="22"/>
        </w:numPr>
      </w:pPr>
      <w:r>
        <w:t>Billing Line Item Transfer (BLIT) Tool Enhancements</w:t>
      </w:r>
      <w:r w:rsidR="00F31875">
        <w:t xml:space="preserve"> and Miscellaneous </w:t>
      </w:r>
      <w:r w:rsidR="00D52CDA">
        <w:t>Bilateral Transactions</w:t>
      </w:r>
    </w:p>
    <w:p w:rsidR="001D6600" w:rsidRPr="004030D2" w:rsidP="00F867EA">
      <w:pPr>
        <w:pStyle w:val="ListSubhead1"/>
        <w:numPr>
          <w:ilvl w:val="0"/>
          <w:numId w:val="0"/>
        </w:numPr>
        <w:ind w:left="360"/>
        <w:rPr>
          <w:b w:val="0"/>
          <w:sz w:val="22"/>
        </w:rPr>
      </w:pPr>
      <w:r w:rsidRPr="004030D2">
        <w:rPr>
          <w:b w:val="0"/>
          <w:sz w:val="22"/>
        </w:rPr>
        <w:t xml:space="preserve">With </w:t>
      </w:r>
      <w:hyperlink r:id="rId9" w:history="1">
        <w:r w:rsidRPr="004030D2">
          <w:rPr>
            <w:rStyle w:val="Hyperlink"/>
            <w:b w:val="0"/>
            <w:sz w:val="22"/>
          </w:rPr>
          <w:t>e</w:t>
        </w:r>
        <w:r w:rsidRPr="004030D2" w:rsidR="00F867EA">
          <w:rPr>
            <w:rStyle w:val="Hyperlink"/>
            <w:b w:val="0"/>
            <w:sz w:val="22"/>
          </w:rPr>
          <w:t>nhancements</w:t>
        </w:r>
      </w:hyperlink>
      <w:r w:rsidRPr="004030D2" w:rsidR="00F867EA">
        <w:rPr>
          <w:b w:val="0"/>
          <w:sz w:val="22"/>
        </w:rPr>
        <w:t xml:space="preserve"> released to BLIT Produc</w:t>
      </w:r>
      <w:r w:rsidRPr="004030D2" w:rsidR="00761D9D">
        <w:rPr>
          <w:b w:val="0"/>
          <w:sz w:val="22"/>
        </w:rPr>
        <w:t xml:space="preserve">tion on December 7, 2023 to facilitate miscellaneous bilateral transactions, </w:t>
      </w:r>
      <w:r w:rsidRPr="004030D2" w:rsidR="00761D9D">
        <w:rPr>
          <w:sz w:val="22"/>
          <w:u w:val="single"/>
        </w:rPr>
        <w:t>PJM will no longer accept paper miscellaneous bilateral forms after February 1, 2024</w:t>
      </w:r>
      <w:r w:rsidRPr="004030D2" w:rsidR="00761D9D">
        <w:rPr>
          <w:b w:val="0"/>
          <w:sz w:val="22"/>
        </w:rPr>
        <w:t>.</w:t>
      </w:r>
    </w:p>
    <w:p w:rsidR="001D6600" w:rsidRPr="001D6600" w:rsidP="001D6600">
      <w:pPr>
        <w:pStyle w:val="ListSubhead1"/>
        <w:numPr>
          <w:ilvl w:val="0"/>
          <w:numId w:val="22"/>
        </w:numPr>
        <w:rPr>
          <w:b w:val="0"/>
        </w:rPr>
      </w:pPr>
      <w:r>
        <w:t>Ongoing MIC Special Session – Operating Reserve Clarification for Resources Operating as Requested by PJM</w:t>
      </w:r>
    </w:p>
    <w:p w:rsidR="00F867EA" w:rsidRPr="004030D2" w:rsidP="001D6600">
      <w:pPr>
        <w:pStyle w:val="ListSubhead1"/>
        <w:numPr>
          <w:ilvl w:val="0"/>
          <w:numId w:val="0"/>
        </w:numPr>
        <w:ind w:left="360"/>
        <w:rPr>
          <w:b w:val="0"/>
          <w:sz w:val="22"/>
        </w:rPr>
      </w:pPr>
      <w:r w:rsidRPr="004030D2">
        <w:rPr>
          <w:b w:val="0"/>
          <w:sz w:val="22"/>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Special sessions will continue in 2024.  Please reference the </w:t>
      </w:r>
      <w:hyperlink r:id="rId10" w:history="1">
        <w:r w:rsidRPr="004030D2">
          <w:rPr>
            <w:rStyle w:val="Hyperlink"/>
            <w:b w:val="0"/>
            <w:sz w:val="22"/>
          </w:rPr>
          <w:t>MIC committee page</w:t>
        </w:r>
      </w:hyperlink>
      <w:r w:rsidRPr="004030D2">
        <w:rPr>
          <w:b w:val="0"/>
          <w:sz w:val="22"/>
        </w:rPr>
        <w:t xml:space="preserve"> for past materials and upcoming meeting dates.</w:t>
      </w:r>
    </w:p>
    <w:p w:rsidR="00593F23" w:rsidRPr="00854D97" w:rsidP="00854D97">
      <w:pPr>
        <w:pStyle w:val="ListParagraph"/>
        <w:numPr>
          <w:ilvl w:val="0"/>
          <w:numId w:val="22"/>
        </w:numPr>
        <w:contextualSpacing w:val="0"/>
        <w:rPr>
          <w:rFonts w:ascii="Arial Narrow" w:hAnsi="Arial Narrow" w:cs="Calibri"/>
          <w:b/>
        </w:rPr>
      </w:pPr>
      <w:r w:rsidRPr="00593F23">
        <w:rPr>
          <w:rFonts w:ascii="Arial Narrow" w:hAnsi="Arial Narrow" w:cs="Calibri"/>
          <w:b/>
        </w:rPr>
        <w:t>Settlement C Updates</w:t>
      </w:r>
    </w:p>
    <w:p w:rsidR="00854D97" w:rsidRPr="00854D97" w:rsidP="00854D97">
      <w:pPr>
        <w:pStyle w:val="ListParagraph"/>
        <w:ind w:left="360"/>
        <w:contextualSpacing w:val="0"/>
        <w:rPr>
          <w:rFonts w:ascii="Arial Narrow" w:hAnsi="Arial Narrow" w:cs="Calibri"/>
        </w:rPr>
      </w:pPr>
      <w:r>
        <w:rPr>
          <w:rFonts w:ascii="Arial Narrow" w:hAnsi="Arial Narrow" w:cs="Calibri"/>
        </w:rPr>
        <w:t>No</w:t>
      </w:r>
      <w:r>
        <w:rPr>
          <w:rFonts w:ascii="Arial Narrow" w:hAnsi="Arial Narrow" w:cs="Calibri"/>
        </w:rPr>
        <w:t xml:space="preserve"> </w:t>
      </w:r>
      <w:r w:rsidR="00DF003D">
        <w:rPr>
          <w:rFonts w:ascii="Arial Narrow" w:hAnsi="Arial Narrow" w:cs="Calibri"/>
        </w:rPr>
        <w:t>adjustment</w:t>
      </w:r>
      <w:r>
        <w:rPr>
          <w:rFonts w:ascii="Arial Narrow" w:hAnsi="Arial Narrow" w:cs="Calibri"/>
        </w:rPr>
        <w:t>s</w:t>
      </w:r>
      <w:r>
        <w:rPr>
          <w:rFonts w:ascii="Arial Narrow" w:hAnsi="Arial Narrow" w:cs="Calibri"/>
        </w:rPr>
        <w:t xml:space="preserve"> w</w:t>
      </w:r>
      <w:r>
        <w:rPr>
          <w:rFonts w:ascii="Arial Narrow" w:hAnsi="Arial Narrow" w:cs="Calibri"/>
        </w:rPr>
        <w:t>ere</w:t>
      </w:r>
      <w:r w:rsidR="00DF003D">
        <w:rPr>
          <w:rFonts w:ascii="Arial Narrow" w:hAnsi="Arial Narrow" w:cs="Calibri"/>
        </w:rPr>
        <w:t xml:space="preserve"> processed </w:t>
      </w:r>
      <w:r w:rsidR="00454C0D">
        <w:rPr>
          <w:rFonts w:ascii="Arial Narrow" w:hAnsi="Arial Narrow" w:cs="Calibri"/>
        </w:rPr>
        <w:t xml:space="preserve">in the </w:t>
      </w:r>
      <w:r>
        <w:rPr>
          <w:rFonts w:ascii="Arial Narrow" w:hAnsi="Arial Narrow" w:cs="Calibri"/>
        </w:rPr>
        <w:t>December</w:t>
      </w:r>
      <w:r w:rsidR="00716B91">
        <w:rPr>
          <w:rFonts w:ascii="Arial Narrow" w:hAnsi="Arial Narrow" w:cs="Calibri"/>
        </w:rPr>
        <w:t xml:space="preserve"> 2023</w:t>
      </w:r>
      <w:r w:rsidR="00454C0D">
        <w:rPr>
          <w:rFonts w:ascii="Arial Narrow" w:hAnsi="Arial Narrow" w:cs="Calibri"/>
        </w:rPr>
        <w:t xml:space="preserve"> billing cycle</w:t>
      </w:r>
      <w:r w:rsidR="00C52F00">
        <w:rPr>
          <w:rFonts w:ascii="Arial Narrow" w:hAnsi="Arial Narrow" w:cs="Calibri"/>
        </w:rPr>
        <w:t>.</w:t>
      </w:r>
    </w:p>
    <w:p w:rsidR="0026067C" w:rsidRPr="00021BE9" w:rsidP="00912528">
      <w:pPr>
        <w:pStyle w:val="ListParagraph"/>
        <w:ind w:left="405"/>
        <w:rPr>
          <w:rFonts w:ascii="Arial Narrow" w:hAnsi="Arial Narrow" w:cs="Calibri"/>
        </w:rPr>
      </w:pPr>
      <w:hyperlink r:id="rId11" w:history="1">
        <w:r w:rsidRPr="008F0469" w:rsidR="000E058A">
          <w:rPr>
            <w:rStyle w:val="Hyperlink"/>
            <w:rFonts w:ascii="Arial Narrow" w:hAnsi="Arial Narrow" w:cs="Calibri"/>
          </w:rPr>
          <w:t>Settlement C Adjustment Tracking</w:t>
        </w:r>
      </w:hyperlink>
      <w:bookmarkStart w:id="0" w:name="_GoBack"/>
      <w:bookmarkEnd w:id="0"/>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February 13,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March 12,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April 16, 2024</w:t>
            </w:r>
          </w:p>
        </w:tc>
        <w:tc>
          <w:tcPr>
            <w:tcW w:w="3110"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03A0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F6F00" w:rsidRPr="007F6F00" w:rsidP="007F6F0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2" w:history="1">
        <w:r w:rsidRPr="007F6F00">
          <w:rPr>
            <w:rStyle w:val="Hyperlink"/>
          </w:rPr>
          <w:t>PJM Code of Conduct</w:t>
        </w:r>
      </w:hyperlink>
      <w:r w:rsidRPr="007F6F00">
        <w:t>.</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7"/>
      <w:footerReference w:type="even" r:id="rId18"/>
      <w:footerReference w:type="default" r:id="rId1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777E">
      <w:rPr>
        <w:rStyle w:val="PageNumber"/>
        <w:noProof/>
      </w:rPr>
      <w:t>3</w:t>
    </w:r>
    <w:r>
      <w:rPr>
        <w:rStyle w:val="PageNumber"/>
      </w:rPr>
      <w:fldChar w:fldCharType="end"/>
    </w:r>
  </w:p>
  <w:bookmarkStart w:id="1"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C30">
      <w:rPr>
        <w:szCs w:val="17"/>
      </w:rPr>
      <w:t>January</w:t>
    </w:r>
    <w:r w:rsidR="00203A06">
      <w:rPr>
        <w:szCs w:val="17"/>
      </w:rPr>
      <w:t xml:space="preserve"> </w:t>
    </w:r>
    <w:r w:rsidR="00ED2C30">
      <w:t xml:space="preserve"> 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8">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4"/>
  </w:num>
  <w:num w:numId="10">
    <w:abstractNumId w:val="0"/>
  </w:num>
  <w:num w:numId="11">
    <w:abstractNumId w:val="5"/>
  </w:num>
  <w:num w:numId="12">
    <w:abstractNumId w:val="2"/>
  </w:num>
  <w:num w:numId="13">
    <w:abstractNumId w:val="11"/>
  </w:num>
  <w:num w:numId="14">
    <w:abstractNumId w:val="12"/>
  </w:num>
  <w:num w:numId="15">
    <w:abstractNumId w:val="3"/>
  </w:num>
  <w:num w:numId="16">
    <w:abstractNumId w:val="8"/>
  </w:num>
  <w:num w:numId="17">
    <w:abstractNumId w:val="13"/>
  </w:num>
  <w:num w:numId="18">
    <w:abstractNumId w:val="10"/>
  </w:num>
  <w:num w:numId="19">
    <w:abstractNumId w:val="5"/>
  </w:num>
  <w:num w:numId="20">
    <w:abstractNumId w:val="7"/>
  </w:num>
  <w:num w:numId="21">
    <w:abstractNumId w:val="1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52A93"/>
    <w:rsid w:val="00054111"/>
    <w:rsid w:val="0006266A"/>
    <w:rsid w:val="0007764F"/>
    <w:rsid w:val="00092135"/>
    <w:rsid w:val="000B5B36"/>
    <w:rsid w:val="000D4565"/>
    <w:rsid w:val="000D5C90"/>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203A06"/>
    <w:rsid w:val="002113BD"/>
    <w:rsid w:val="00223858"/>
    <w:rsid w:val="00236DEE"/>
    <w:rsid w:val="00240490"/>
    <w:rsid w:val="00246EAA"/>
    <w:rsid w:val="0025139E"/>
    <w:rsid w:val="00254D56"/>
    <w:rsid w:val="0026067C"/>
    <w:rsid w:val="00286838"/>
    <w:rsid w:val="002B2F98"/>
    <w:rsid w:val="002C418F"/>
    <w:rsid w:val="002C6057"/>
    <w:rsid w:val="00305238"/>
    <w:rsid w:val="00316B2B"/>
    <w:rsid w:val="003234D8"/>
    <w:rsid w:val="003251CE"/>
    <w:rsid w:val="00327D85"/>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D4BE6"/>
    <w:rsid w:val="004E2A61"/>
    <w:rsid w:val="004E4EC5"/>
    <w:rsid w:val="005051BB"/>
    <w:rsid w:val="0050777E"/>
    <w:rsid w:val="005109FF"/>
    <w:rsid w:val="00527104"/>
    <w:rsid w:val="005523DD"/>
    <w:rsid w:val="00562CA4"/>
    <w:rsid w:val="0056402F"/>
    <w:rsid w:val="00564DEE"/>
    <w:rsid w:val="005652FA"/>
    <w:rsid w:val="0057441E"/>
    <w:rsid w:val="00593F23"/>
    <w:rsid w:val="005968E4"/>
    <w:rsid w:val="005A5D0D"/>
    <w:rsid w:val="005B2583"/>
    <w:rsid w:val="005C579D"/>
    <w:rsid w:val="005D2150"/>
    <w:rsid w:val="005D6D05"/>
    <w:rsid w:val="006024A0"/>
    <w:rsid w:val="00602967"/>
    <w:rsid w:val="00605EFE"/>
    <w:rsid w:val="00606F11"/>
    <w:rsid w:val="006209D9"/>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44A45"/>
    <w:rsid w:val="00754C6D"/>
    <w:rsid w:val="00755096"/>
    <w:rsid w:val="00761D9D"/>
    <w:rsid w:val="00765572"/>
    <w:rsid w:val="007703B4"/>
    <w:rsid w:val="00776910"/>
    <w:rsid w:val="007849E3"/>
    <w:rsid w:val="00786D64"/>
    <w:rsid w:val="00790F25"/>
    <w:rsid w:val="007A2201"/>
    <w:rsid w:val="007A34A3"/>
    <w:rsid w:val="007A4F0F"/>
    <w:rsid w:val="007C2047"/>
    <w:rsid w:val="007C2954"/>
    <w:rsid w:val="007C3F99"/>
    <w:rsid w:val="007D4F70"/>
    <w:rsid w:val="007E20E5"/>
    <w:rsid w:val="007E7CAB"/>
    <w:rsid w:val="007F6F00"/>
    <w:rsid w:val="0080419C"/>
    <w:rsid w:val="00805D73"/>
    <w:rsid w:val="00806B73"/>
    <w:rsid w:val="008212BD"/>
    <w:rsid w:val="00836A8E"/>
    <w:rsid w:val="00837B12"/>
    <w:rsid w:val="00837E78"/>
    <w:rsid w:val="00841282"/>
    <w:rsid w:val="00854D97"/>
    <w:rsid w:val="008552A3"/>
    <w:rsid w:val="008573F7"/>
    <w:rsid w:val="00862377"/>
    <w:rsid w:val="008707E4"/>
    <w:rsid w:val="00882652"/>
    <w:rsid w:val="00890B49"/>
    <w:rsid w:val="00892D21"/>
    <w:rsid w:val="008D4BFC"/>
    <w:rsid w:val="008D65A9"/>
    <w:rsid w:val="008D6CD8"/>
    <w:rsid w:val="008E37F7"/>
    <w:rsid w:val="008E74D7"/>
    <w:rsid w:val="008F0469"/>
    <w:rsid w:val="008F51F2"/>
    <w:rsid w:val="008F6EDB"/>
    <w:rsid w:val="00912528"/>
    <w:rsid w:val="00917386"/>
    <w:rsid w:val="00956D5B"/>
    <w:rsid w:val="0097354A"/>
    <w:rsid w:val="009855E4"/>
    <w:rsid w:val="00991528"/>
    <w:rsid w:val="009924EE"/>
    <w:rsid w:val="009A2D5A"/>
    <w:rsid w:val="009A5430"/>
    <w:rsid w:val="009C15C4"/>
    <w:rsid w:val="009D51B1"/>
    <w:rsid w:val="009F53F9"/>
    <w:rsid w:val="009F5566"/>
    <w:rsid w:val="00A00FAC"/>
    <w:rsid w:val="00A01EDB"/>
    <w:rsid w:val="00A05391"/>
    <w:rsid w:val="00A220B3"/>
    <w:rsid w:val="00A30464"/>
    <w:rsid w:val="00A317A9"/>
    <w:rsid w:val="00A41149"/>
    <w:rsid w:val="00A60939"/>
    <w:rsid w:val="00A63421"/>
    <w:rsid w:val="00A73B41"/>
    <w:rsid w:val="00AA0539"/>
    <w:rsid w:val="00AB52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0306"/>
    <w:rsid w:val="00C1535F"/>
    <w:rsid w:val="00C307E9"/>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32F1F"/>
    <w:rsid w:val="00D42220"/>
    <w:rsid w:val="00D44FD9"/>
    <w:rsid w:val="00D520B6"/>
    <w:rsid w:val="00D52CDA"/>
    <w:rsid w:val="00D66879"/>
    <w:rsid w:val="00D77189"/>
    <w:rsid w:val="00D831E4"/>
    <w:rsid w:val="00D83905"/>
    <w:rsid w:val="00D8710C"/>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82F42"/>
    <w:rsid w:val="00E87348"/>
    <w:rsid w:val="00E91714"/>
    <w:rsid w:val="00EA027A"/>
    <w:rsid w:val="00EA0484"/>
    <w:rsid w:val="00EA66F6"/>
    <w:rsid w:val="00EB0D01"/>
    <w:rsid w:val="00EB68B0"/>
    <w:rsid w:val="00ED2C30"/>
    <w:rsid w:val="00EF40BC"/>
    <w:rsid w:val="00EF670C"/>
    <w:rsid w:val="00EF7070"/>
    <w:rsid w:val="00F0153F"/>
    <w:rsid w:val="00F20173"/>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mic" TargetMode="External" /><Relationship Id="rId11" Type="http://schemas.openxmlformats.org/officeDocument/2006/relationships/hyperlink" Target="https://www.pjm.com/-/media/committees-groups/subcommittees/mss/2024/20240116/20240116-2023-settlement-c-tracking.ash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cuments/ferc/orders/2023/20231219-er23-2975-000.ashx" TargetMode="External" /><Relationship Id="rId5" Type="http://schemas.openxmlformats.org/officeDocument/2006/relationships/hyperlink" Target="https://www.pjm.com/markets-and-operations/winter-storm-elliott" TargetMode="External" /><Relationship Id="rId6" Type="http://schemas.openxmlformats.org/officeDocument/2006/relationships/hyperlink" Target="https://www.pjm.com/-/media/markets-ops/winter-storm-elliott/ferc-settlement-faq.ashx" TargetMode="External" /><Relationship Id="rId7" Type="http://schemas.openxmlformats.org/officeDocument/2006/relationships/hyperlink" Target="https://www.pjm.com/-/media/markets-ops/winter-storm-elliott/settlement-reduced-non-performance-assessment-charges-and-credits.ashx" TargetMode="External" /><Relationship Id="rId8" Type="http://schemas.openxmlformats.org/officeDocument/2006/relationships/hyperlink" Target="https://www.pjm.com/-/media/committees-groups/subcommittees/mss/2023/20231214/20231214-msrs-report-updates---dispatch-signal-uds-basepoint-and-uds-dispatch-lmp-desired-mw.ashx" TargetMode="External" /><Relationship Id="rId9" Type="http://schemas.openxmlformats.org/officeDocument/2006/relationships/hyperlink" Target="https://www.pjm.com/-/media/committees-groups/subcommittees/mss/2023/20231016/20231016-item-03---billing-line-item-transfer-tool-enhancements.ash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