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April</w:t>
      </w:r>
      <w:r w:rsidR="00F67044">
        <w:t xml:space="preserve"> </w:t>
      </w:r>
      <w:r w:rsidR="005D1540">
        <w:t>29</w:t>
      </w:r>
      <w:r w:rsidR="002B2F98">
        <w:t xml:space="preserve">, </w:t>
      </w:r>
      <w:r w:rsidR="00F66479">
        <w:t>202</w:t>
      </w:r>
      <w:r w:rsidR="004F09AB">
        <w:t>4</w:t>
      </w:r>
    </w:p>
    <w:p w:rsidR="00B62597" w:rsidRPr="00B62597" w:rsidP="00755096">
      <w:pPr>
        <w:pStyle w:val="MeetingDetails"/>
        <w:rPr>
          <w:sz w:val="28"/>
          <w:u w:val="single"/>
        </w:rPr>
      </w:pPr>
      <w:r>
        <w:t>1</w:t>
      </w:r>
      <w:r w:rsidR="002B2F98">
        <w:t xml:space="preserve">:00 </w:t>
      </w:r>
      <w:r>
        <w:t>p</w:t>
      </w:r>
      <w:r w:rsidR="00F66479">
        <w:t xml:space="preserve">.m. – </w:t>
      </w:r>
      <w:r>
        <w:t>3</w:t>
      </w:r>
      <w:r w:rsidR="008D515D">
        <w:t>:0</w:t>
      </w:r>
      <w:r w:rsidR="000E4BF0">
        <w:t>0</w:t>
      </w:r>
      <w:r w:rsidR="004D1F8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5D1540">
        <w:t>1</w:t>
      </w:r>
      <w:r w:rsidR="00F66479">
        <w:t>:00-</w:t>
      </w:r>
      <w:r w:rsidR="005D1540">
        <w:t>1</w:t>
      </w:r>
      <w:r w:rsidR="0040653B">
        <w:t>:</w:t>
      </w:r>
      <w:r w:rsidR="00C94D5B">
        <w:t>15</w:t>
      </w:r>
      <w:r w:rsidR="006A60F3">
        <w:t>)</w:t>
      </w:r>
    </w:p>
    <w:bookmarkEnd w:id="0"/>
    <w:bookmarkEnd w:id="1"/>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CA283A">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DF6F3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5D1540">
        <w:rPr>
          <w:b w:val="0"/>
        </w:rPr>
        <w:t>4</w:t>
      </w:r>
      <w:r w:rsidR="006A3390">
        <w:rPr>
          <w:b w:val="0"/>
        </w:rPr>
        <w:t>.</w:t>
      </w:r>
      <w:r w:rsidR="005D1540">
        <w:rPr>
          <w:b w:val="0"/>
        </w:rPr>
        <w:t>1</w:t>
      </w:r>
      <w:r w:rsidR="00FB52A0">
        <w:rPr>
          <w:b w:val="0"/>
        </w:rPr>
        <w:t>.</w:t>
      </w:r>
      <w:r w:rsidR="00DF6F3E">
        <w:rPr>
          <w:b w:val="0"/>
        </w:rPr>
        <w:t>20</w:t>
      </w:r>
      <w:r w:rsidR="00FB52A0">
        <w:rPr>
          <w:b w:val="0"/>
        </w:rPr>
        <w:t>2</w:t>
      </w:r>
      <w:r w:rsidR="001941D7">
        <w:rPr>
          <w:b w:val="0"/>
        </w:rPr>
        <w:t>4</w:t>
      </w:r>
      <w:r w:rsidR="00FB52A0">
        <w:rPr>
          <w:b w:val="0"/>
        </w:rPr>
        <w:t xml:space="preserve"> </w:t>
      </w:r>
      <w:r w:rsidR="003A4900">
        <w:rPr>
          <w:b w:val="0"/>
        </w:rPr>
        <w:t>DISRS</w:t>
      </w:r>
      <w:r>
        <w:rPr>
          <w:b w:val="0"/>
        </w:rPr>
        <w:t>.</w:t>
      </w:r>
    </w:p>
    <w:p w:rsidR="003728E4" w:rsidP="000C7F17">
      <w:pPr>
        <w:pStyle w:val="SecondaryHeading-Numbered"/>
        <w:rPr>
          <w:b w:val="0"/>
        </w:rPr>
      </w:pPr>
      <w:r>
        <w:rPr>
          <w:b w:val="0"/>
        </w:rPr>
        <w:t>Ilyana Dropkin will review updated DISRS</w:t>
      </w:r>
      <w:r>
        <w:rPr>
          <w:b w:val="0"/>
        </w:rPr>
        <w:t xml:space="preserve"> work</w:t>
      </w:r>
      <w:r w:rsidR="000C7F17">
        <w:rPr>
          <w:b w:val="0"/>
        </w:rPr>
        <w:t xml:space="preserve"> </w:t>
      </w:r>
      <w:r w:rsidRPr="000C7F17">
        <w:rPr>
          <w:b w:val="0"/>
        </w:rPr>
        <w:t>plan</w:t>
      </w:r>
      <w:r>
        <w:rPr>
          <w:b w:val="0"/>
        </w:rPr>
        <w:t>.</w:t>
      </w:r>
    </w:p>
    <w:p w:rsidR="00B30928" w:rsidP="000C7F17">
      <w:pPr>
        <w:pStyle w:val="SecondaryHeading-Numbered"/>
        <w:rPr>
          <w:b w:val="0"/>
        </w:rPr>
      </w:pPr>
      <w:r>
        <w:rPr>
          <w:b w:val="0"/>
        </w:rPr>
        <w:t xml:space="preserve">Ilyana Dropkin </w:t>
      </w:r>
      <w:r w:rsidR="00046EB7">
        <w:rPr>
          <w:b w:val="0"/>
        </w:rPr>
        <w:t>will provide a verbal</w:t>
      </w:r>
      <w:bookmarkStart w:id="2" w:name="_GoBack"/>
      <w:bookmarkEnd w:id="2"/>
      <w:r>
        <w:rPr>
          <w:b w:val="0"/>
        </w:rPr>
        <w:t xml:space="preserve"> update on FERC Order 2222 filing. </w:t>
      </w:r>
    </w:p>
    <w:p w:rsidR="00C94D5B" w:rsidRPr="00DB29E9" w:rsidP="00C94D5B">
      <w:pPr>
        <w:pStyle w:val="PrimaryHeading"/>
      </w:pPr>
      <w:r>
        <w:t>Demand Response and Energy Efficiency</w:t>
      </w:r>
      <w:r w:rsidRPr="00FB745D">
        <w:t xml:space="preserve"> </w:t>
      </w:r>
      <w:r>
        <w:t>(1:15 – 2:0</w:t>
      </w:r>
      <w:r w:rsidR="00046EAC">
        <w:t>5</w:t>
      </w:r>
      <w:r>
        <w:t>)</w:t>
      </w:r>
    </w:p>
    <w:p w:rsidR="00C94D5B" w:rsidRPr="00C72348" w:rsidP="00C94D5B">
      <w:pPr>
        <w:pStyle w:val="ListSubhead1"/>
      </w:pPr>
      <w:r>
        <w:rPr>
          <w:b w:val="0"/>
        </w:rPr>
        <w:t xml:space="preserve">Emily Barrett, PJM, will provide clarifications for Demand Response and DER aggregation in the reserve market today and under PJM’s Reserve Certainty Senior Task Force (RCSTF) proposal. </w:t>
      </w:r>
    </w:p>
    <w:p w:rsidR="00C72348" w:rsidRPr="005C55F6" w:rsidP="00C72348">
      <w:pPr>
        <w:pStyle w:val="ListSubhead1"/>
      </w:pPr>
      <w:r>
        <w:rPr>
          <w:b w:val="0"/>
        </w:rPr>
        <w:t>Pete Langbein, PJM, will provide a verbal update on Demand Response and Energy Efficiency.</w:t>
      </w:r>
    </w:p>
    <w:p w:rsidR="005C55F6" w:rsidRPr="00C94D5B" w:rsidP="00C72348">
      <w:pPr>
        <w:pStyle w:val="ListSubhead1"/>
      </w:pPr>
      <w:r>
        <w:rPr>
          <w:b w:val="0"/>
        </w:rPr>
        <w:t>Jack O’Neill, PJM, will provide an update on 2024/2025 Load Management Summer Readiness.</w:t>
      </w:r>
    </w:p>
    <w:p w:rsidR="0011592F" w:rsidRPr="005455D5" w:rsidP="0011592F">
      <w:pPr>
        <w:pStyle w:val="PrimaryHeading"/>
      </w:pPr>
      <w:r>
        <w:t>Hybrid Reso</w:t>
      </w:r>
      <w:r w:rsidR="002A2C78">
        <w:t>urces Enh</w:t>
      </w:r>
      <w:r w:rsidR="00C94D5B">
        <w:t>ancements (2</w:t>
      </w:r>
      <w:r w:rsidR="002A2C78">
        <w:t>:</w:t>
      </w:r>
      <w:r w:rsidR="00C165DC">
        <w:t>0</w:t>
      </w:r>
      <w:r w:rsidR="00046EAC">
        <w:t>5</w:t>
      </w:r>
      <w:r w:rsidR="005D1540">
        <w:t xml:space="preserve"> – 2</w:t>
      </w:r>
      <w:r w:rsidR="00661F94">
        <w:t>:</w:t>
      </w:r>
      <w:r w:rsidR="00C94D5B">
        <w:t>50</w:t>
      </w:r>
      <w:r>
        <w:t>)</w:t>
      </w:r>
    </w:p>
    <w:p w:rsidR="00156346" w:rsidRPr="00811978" w:rsidP="0011592F">
      <w:pPr>
        <w:pStyle w:val="ListSubhead1"/>
        <w:rPr>
          <w:b w:val="0"/>
        </w:rPr>
      </w:pPr>
      <w:r>
        <w:rPr>
          <w:b w:val="0"/>
        </w:rPr>
        <w:t>Danielle Croop</w:t>
      </w:r>
      <w:r w:rsidRPr="00811978" w:rsidR="002A2C78">
        <w:rPr>
          <w:b w:val="0"/>
        </w:rPr>
        <w:t xml:space="preserve">, PJM, will review </w:t>
      </w:r>
      <w:r w:rsidRPr="00811978" w:rsidR="00811978">
        <w:rPr>
          <w:b w:val="0"/>
        </w:rPr>
        <w:t>a proposed change related to energy storage</w:t>
      </w:r>
      <w:r w:rsidRPr="00811978" w:rsidR="002A2C78">
        <w:rPr>
          <w:b w:val="0"/>
        </w:rPr>
        <w:t xml:space="preserve"> to the </w:t>
      </w:r>
      <w:r w:rsidR="00811978">
        <w:rPr>
          <w:b w:val="0"/>
        </w:rPr>
        <w:t xml:space="preserve">Hybrid Resources Enhancements </w:t>
      </w:r>
      <w:r w:rsidRPr="00811978" w:rsidR="002A2C78">
        <w:rPr>
          <w:b w:val="0"/>
        </w:rPr>
        <w:t>Issue Charge.</w:t>
      </w:r>
    </w:p>
    <w:p w:rsidR="0011592F" w:rsidRPr="0011592F" w:rsidP="0011592F">
      <w:pPr>
        <w:pStyle w:val="ListSubhead1"/>
        <w:rPr>
          <w:b w:val="0"/>
        </w:rPr>
      </w:pPr>
      <w:r>
        <w:rPr>
          <w:b w:val="0"/>
        </w:rPr>
        <w:t xml:space="preserve">Ilyana Dropkin </w:t>
      </w:r>
      <w:r>
        <w:rPr>
          <w:b w:val="0"/>
        </w:rPr>
        <w:t>will lea</w:t>
      </w:r>
      <w:r w:rsidR="00A31DDB">
        <w:rPr>
          <w:b w:val="0"/>
        </w:rPr>
        <w:t>d</w:t>
      </w:r>
      <w:r w:rsidR="003728E4">
        <w:rPr>
          <w:b w:val="0"/>
        </w:rPr>
        <w:t xml:space="preserve"> a discussion </w:t>
      </w:r>
      <w:r w:rsidR="001A6BF5">
        <w:rPr>
          <w:b w:val="0"/>
        </w:rPr>
        <w:t xml:space="preserve">of </w:t>
      </w:r>
      <w:r w:rsidR="00156346">
        <w:rPr>
          <w:b w:val="0"/>
        </w:rPr>
        <w:t>solution options</w:t>
      </w:r>
      <w:r>
        <w:rPr>
          <w:b w:val="0"/>
        </w:rPr>
        <w:t xml:space="preserve"> through the CBIR process. </w:t>
      </w:r>
    </w:p>
    <w:p w:rsidR="00A10D1C" w:rsidP="00A10D1C">
      <w:pPr>
        <w:pStyle w:val="PrimaryHeading"/>
      </w:pPr>
      <w:r w:rsidRPr="0095194C">
        <w:t>F</w:t>
      </w:r>
      <w:r>
        <w:t>uture Agenda Items (</w:t>
      </w:r>
      <w:r w:rsidR="005D1540">
        <w:t>2</w:t>
      </w:r>
      <w:r w:rsidR="00811978">
        <w:t>:</w:t>
      </w:r>
      <w:r w:rsidR="00F73BD4">
        <w:t>5</w:t>
      </w:r>
      <w:r w:rsidR="006F44D1">
        <w:t>0</w:t>
      </w:r>
      <w:r>
        <w:t xml:space="preserve"> – </w:t>
      </w:r>
      <w:r w:rsidR="005D1540">
        <w:t>3</w:t>
      </w:r>
      <w:r>
        <w:t>:</w:t>
      </w:r>
      <w:r w:rsidR="00811978">
        <w:t>0</w:t>
      </w:r>
      <w:r w:rsidR="0015736D">
        <w:t>0</w:t>
      </w:r>
      <w:r>
        <w:t>)</w:t>
      </w:r>
    </w:p>
    <w:p w:rsidR="00232C9E" w:rsidP="00232C9E">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B70FE8">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6F44D1">
        <w:tblPrEx>
          <w:tblW w:w="0" w:type="auto"/>
          <w:tblLook w:val="04A0"/>
        </w:tblPrEx>
        <w:trPr>
          <w:trHeight w:val="186"/>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A6BF5">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June 3,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Pr>
                <w:b w:val="0"/>
                <w:color w:val="auto"/>
                <w:sz w:val="18"/>
                <w:szCs w:val="18"/>
              </w:rPr>
              <w:t>May 24, 2024</w:t>
            </w:r>
          </w:p>
        </w:tc>
        <w:tc>
          <w:tcPr>
            <w:tcW w:w="1529" w:type="dxa"/>
            <w:tcBorders>
              <w:top w:val="single" w:sz="4" w:space="0" w:color="auto"/>
              <w:left w:val="single" w:sz="4" w:space="0" w:color="auto"/>
              <w:bottom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Pr>
                <w:b w:val="0"/>
                <w:color w:val="auto"/>
                <w:sz w:val="18"/>
                <w:szCs w:val="18"/>
              </w:rPr>
              <w:t>May 29, 2024</w:t>
            </w:r>
          </w:p>
        </w:tc>
      </w:tr>
      <w:tr w:rsidTr="006F44D1">
        <w:tblPrEx>
          <w:tblW w:w="0" w:type="auto"/>
          <w:tblLook w:val="04A0"/>
        </w:tblPrEx>
        <w:trPr>
          <w:trHeight w:val="260"/>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July 8,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June 28,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July 3, 2024</w:t>
            </w:r>
          </w:p>
        </w:tc>
      </w:tr>
      <w:tr w:rsidTr="001A6BF5">
        <w:tblPrEx>
          <w:tblW w:w="0" w:type="auto"/>
          <w:tblLook w:val="04A0"/>
        </w:tblPrEx>
        <w:trPr>
          <w:trHeight w:val="242"/>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August 5,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26, 2024</w:t>
            </w:r>
          </w:p>
        </w:tc>
        <w:tc>
          <w:tcPr>
            <w:tcW w:w="1529"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31, 2024</w:t>
            </w:r>
          </w:p>
        </w:tc>
      </w:tr>
      <w:tr w:rsidTr="006F44D1">
        <w:tblPrEx>
          <w:tblW w:w="0" w:type="auto"/>
          <w:tblLook w:val="04A0"/>
        </w:tblPrEx>
        <w:trPr>
          <w:trHeight w:val="260"/>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September 9,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August 30,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September 4, 2024</w:t>
            </w:r>
          </w:p>
        </w:tc>
      </w:tr>
      <w:tr w:rsidTr="00167FE7">
        <w:tblPrEx>
          <w:tblW w:w="0" w:type="auto"/>
          <w:tblLook w:val="04A0"/>
        </w:tblPrEx>
        <w:trPr>
          <w:trHeight w:val="233"/>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October 7,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September 27,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October 2, 2024</w:t>
            </w:r>
          </w:p>
        </w:tc>
      </w:tr>
      <w:tr w:rsidTr="001A6BF5">
        <w:tblPrEx>
          <w:tblW w:w="0" w:type="auto"/>
          <w:tblLook w:val="04A0"/>
        </w:tblPrEx>
        <w:trPr>
          <w:trHeight w:val="287"/>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November 4,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25, 2024</w:t>
            </w:r>
          </w:p>
        </w:tc>
        <w:tc>
          <w:tcPr>
            <w:tcW w:w="1529"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30, 2024</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December 2,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22,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27, 2024</w:t>
            </w:r>
          </w:p>
        </w:tc>
      </w:tr>
    </w:tbl>
    <w:p w:rsidR="006F44D1" w:rsidP="006F44D1">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6F44D1">
      <w:pPr>
        <w:pStyle w:val="DisclaimerBodyCopy"/>
        <w:keepLines/>
        <w:rPr>
          <w:color w:val="1F497D"/>
        </w:rPr>
      </w:pPr>
      <w:r>
        <w:t>Author: Ilyana Dropkin</w:t>
      </w:r>
      <w:r>
        <w:br w:type="page"/>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Participant Identification in Webex:</w:t>
      </w:r>
    </w:p>
    <w:p w:rsidR="00902155" w:rsidP="00902155">
      <w:pPr>
        <w:pStyle w:val="DisclaimerBodyCopy"/>
      </w:pPr>
      <w:r>
        <w:t>When logging into the Webex desktop client, please enter your real first and last name as well as a valid email address. Be sure to select the “call me” option.</w:t>
      </w:r>
    </w:p>
    <w:p w:rsidR="00902155" w:rsidP="00902155">
      <w:pPr>
        <w:pStyle w:val="DisclaimerBodyCopy"/>
      </w:pPr>
      <w:r>
        <w:t>PJM support staff continuously monitors Webex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Participant Use of Webex Chat:</w:t>
      </w:r>
    </w:p>
    <w:p w:rsidR="00902155" w:rsidP="00902155">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46EB7">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02155">
      <w:rPr>
        <w:rFonts w:ascii="Arial Narrow" w:hAnsi="Arial Narrow"/>
        <w:sz w:val="20"/>
      </w:rPr>
      <w:t>4</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A56A6494"/>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1F9A"/>
    <w:rsid w:val="000232DF"/>
    <w:rsid w:val="00027F49"/>
    <w:rsid w:val="000333FF"/>
    <w:rsid w:val="00041693"/>
    <w:rsid w:val="00045BA9"/>
    <w:rsid w:val="00046EAC"/>
    <w:rsid w:val="00046EB7"/>
    <w:rsid w:val="000609A0"/>
    <w:rsid w:val="00060E3B"/>
    <w:rsid w:val="0006798D"/>
    <w:rsid w:val="0007047D"/>
    <w:rsid w:val="00082BE2"/>
    <w:rsid w:val="00092135"/>
    <w:rsid w:val="000B28B9"/>
    <w:rsid w:val="000C4AA7"/>
    <w:rsid w:val="000C7F17"/>
    <w:rsid w:val="000C7F2E"/>
    <w:rsid w:val="000E4BF0"/>
    <w:rsid w:val="000E53DB"/>
    <w:rsid w:val="000F304A"/>
    <w:rsid w:val="00106E28"/>
    <w:rsid w:val="00112C71"/>
    <w:rsid w:val="0011592F"/>
    <w:rsid w:val="00117AF9"/>
    <w:rsid w:val="00121F58"/>
    <w:rsid w:val="001304E5"/>
    <w:rsid w:val="00135F41"/>
    <w:rsid w:val="00156346"/>
    <w:rsid w:val="0015736D"/>
    <w:rsid w:val="001678E8"/>
    <w:rsid w:val="00167FE7"/>
    <w:rsid w:val="00170E02"/>
    <w:rsid w:val="00175B66"/>
    <w:rsid w:val="001932F8"/>
    <w:rsid w:val="001941D7"/>
    <w:rsid w:val="001A6BF5"/>
    <w:rsid w:val="001B2242"/>
    <w:rsid w:val="001C0CC0"/>
    <w:rsid w:val="001C2171"/>
    <w:rsid w:val="001C23A6"/>
    <w:rsid w:val="001D3B68"/>
    <w:rsid w:val="001E0FDF"/>
    <w:rsid w:val="0021036A"/>
    <w:rsid w:val="002113BD"/>
    <w:rsid w:val="00217A9C"/>
    <w:rsid w:val="00232C9E"/>
    <w:rsid w:val="002341C4"/>
    <w:rsid w:val="00242771"/>
    <w:rsid w:val="0025139E"/>
    <w:rsid w:val="002571DD"/>
    <w:rsid w:val="00270BD7"/>
    <w:rsid w:val="00272659"/>
    <w:rsid w:val="0027524B"/>
    <w:rsid w:val="00280180"/>
    <w:rsid w:val="002801A0"/>
    <w:rsid w:val="002A2C78"/>
    <w:rsid w:val="002B2F98"/>
    <w:rsid w:val="002C1104"/>
    <w:rsid w:val="002C2842"/>
    <w:rsid w:val="002C5C1A"/>
    <w:rsid w:val="002C6057"/>
    <w:rsid w:val="002D5539"/>
    <w:rsid w:val="002E6E8E"/>
    <w:rsid w:val="002F59CF"/>
    <w:rsid w:val="00305238"/>
    <w:rsid w:val="003135F7"/>
    <w:rsid w:val="00317F2B"/>
    <w:rsid w:val="003207B9"/>
    <w:rsid w:val="003251CE"/>
    <w:rsid w:val="00334A32"/>
    <w:rsid w:val="00335803"/>
    <w:rsid w:val="00337321"/>
    <w:rsid w:val="00342C34"/>
    <w:rsid w:val="00353DEA"/>
    <w:rsid w:val="00362E88"/>
    <w:rsid w:val="003728E4"/>
    <w:rsid w:val="00394850"/>
    <w:rsid w:val="003A4900"/>
    <w:rsid w:val="003B55E1"/>
    <w:rsid w:val="003B73DE"/>
    <w:rsid w:val="003C17E2"/>
    <w:rsid w:val="003C235E"/>
    <w:rsid w:val="003C3320"/>
    <w:rsid w:val="003D7E5C"/>
    <w:rsid w:val="003E7A73"/>
    <w:rsid w:val="003F055F"/>
    <w:rsid w:val="003F23BF"/>
    <w:rsid w:val="0040653B"/>
    <w:rsid w:val="0041246F"/>
    <w:rsid w:val="00417EB3"/>
    <w:rsid w:val="004248D4"/>
    <w:rsid w:val="004262EE"/>
    <w:rsid w:val="0046043F"/>
    <w:rsid w:val="00463744"/>
    <w:rsid w:val="00491490"/>
    <w:rsid w:val="00492C3A"/>
    <w:rsid w:val="00494494"/>
    <w:rsid w:val="004969FA"/>
    <w:rsid w:val="004A0769"/>
    <w:rsid w:val="004B5536"/>
    <w:rsid w:val="004C2445"/>
    <w:rsid w:val="004D1F86"/>
    <w:rsid w:val="004F09AB"/>
    <w:rsid w:val="004F1325"/>
    <w:rsid w:val="004F7EA9"/>
    <w:rsid w:val="00511B44"/>
    <w:rsid w:val="00512278"/>
    <w:rsid w:val="00517E04"/>
    <w:rsid w:val="00527104"/>
    <w:rsid w:val="00530AFC"/>
    <w:rsid w:val="005455D5"/>
    <w:rsid w:val="00550CC9"/>
    <w:rsid w:val="0055560F"/>
    <w:rsid w:val="00556551"/>
    <w:rsid w:val="00564DEE"/>
    <w:rsid w:val="0056616D"/>
    <w:rsid w:val="00573041"/>
    <w:rsid w:val="0057441E"/>
    <w:rsid w:val="005907B2"/>
    <w:rsid w:val="00593C36"/>
    <w:rsid w:val="00596419"/>
    <w:rsid w:val="005966CB"/>
    <w:rsid w:val="005A14B1"/>
    <w:rsid w:val="005A5D0D"/>
    <w:rsid w:val="005B6162"/>
    <w:rsid w:val="005C55F6"/>
    <w:rsid w:val="005D1540"/>
    <w:rsid w:val="005D6D05"/>
    <w:rsid w:val="005D75AF"/>
    <w:rsid w:val="006024A0"/>
    <w:rsid w:val="00602967"/>
    <w:rsid w:val="00606F11"/>
    <w:rsid w:val="00617C63"/>
    <w:rsid w:val="006224EC"/>
    <w:rsid w:val="0062636A"/>
    <w:rsid w:val="00642E5E"/>
    <w:rsid w:val="006560B7"/>
    <w:rsid w:val="006601BC"/>
    <w:rsid w:val="006606D5"/>
    <w:rsid w:val="00661F94"/>
    <w:rsid w:val="006816B5"/>
    <w:rsid w:val="006A3390"/>
    <w:rsid w:val="006A5699"/>
    <w:rsid w:val="006A60F3"/>
    <w:rsid w:val="006C738F"/>
    <w:rsid w:val="006F2963"/>
    <w:rsid w:val="006F44D1"/>
    <w:rsid w:val="006F7A52"/>
    <w:rsid w:val="00700EB9"/>
    <w:rsid w:val="00711249"/>
    <w:rsid w:val="00712791"/>
    <w:rsid w:val="00712CAA"/>
    <w:rsid w:val="00714BBC"/>
    <w:rsid w:val="00716A8B"/>
    <w:rsid w:val="0072147E"/>
    <w:rsid w:val="00725D6F"/>
    <w:rsid w:val="00730F76"/>
    <w:rsid w:val="00744A45"/>
    <w:rsid w:val="0074691F"/>
    <w:rsid w:val="007524D0"/>
    <w:rsid w:val="00752894"/>
    <w:rsid w:val="00754C6D"/>
    <w:rsid w:val="00755096"/>
    <w:rsid w:val="00756AF9"/>
    <w:rsid w:val="007703B4"/>
    <w:rsid w:val="00780DAE"/>
    <w:rsid w:val="0079012B"/>
    <w:rsid w:val="007A34A3"/>
    <w:rsid w:val="007B2370"/>
    <w:rsid w:val="007C2954"/>
    <w:rsid w:val="007C7832"/>
    <w:rsid w:val="007D4F70"/>
    <w:rsid w:val="007E7CAB"/>
    <w:rsid w:val="0080334A"/>
    <w:rsid w:val="00810198"/>
    <w:rsid w:val="00811978"/>
    <w:rsid w:val="00837B12"/>
    <w:rsid w:val="00841282"/>
    <w:rsid w:val="008418B5"/>
    <w:rsid w:val="00845817"/>
    <w:rsid w:val="00847064"/>
    <w:rsid w:val="00850AEB"/>
    <w:rsid w:val="008521B8"/>
    <w:rsid w:val="00854B21"/>
    <w:rsid w:val="008552A3"/>
    <w:rsid w:val="008557E8"/>
    <w:rsid w:val="008639BC"/>
    <w:rsid w:val="00882652"/>
    <w:rsid w:val="00895470"/>
    <w:rsid w:val="008A2DBB"/>
    <w:rsid w:val="008A457C"/>
    <w:rsid w:val="008D515D"/>
    <w:rsid w:val="008D614D"/>
    <w:rsid w:val="008F673B"/>
    <w:rsid w:val="00902155"/>
    <w:rsid w:val="00905FF6"/>
    <w:rsid w:val="00917386"/>
    <w:rsid w:val="009308DA"/>
    <w:rsid w:val="00931A2B"/>
    <w:rsid w:val="00932222"/>
    <w:rsid w:val="00933441"/>
    <w:rsid w:val="0095194C"/>
    <w:rsid w:val="00960D26"/>
    <w:rsid w:val="00961576"/>
    <w:rsid w:val="00967EA6"/>
    <w:rsid w:val="0097436F"/>
    <w:rsid w:val="00974A2B"/>
    <w:rsid w:val="00991528"/>
    <w:rsid w:val="00994041"/>
    <w:rsid w:val="009A06D6"/>
    <w:rsid w:val="009A27BB"/>
    <w:rsid w:val="009A4A0D"/>
    <w:rsid w:val="009A5430"/>
    <w:rsid w:val="009A688D"/>
    <w:rsid w:val="009B5576"/>
    <w:rsid w:val="009C15C4"/>
    <w:rsid w:val="009C1E1D"/>
    <w:rsid w:val="009E76C0"/>
    <w:rsid w:val="009F53F9"/>
    <w:rsid w:val="00A05391"/>
    <w:rsid w:val="00A055C8"/>
    <w:rsid w:val="00A10D1C"/>
    <w:rsid w:val="00A1344D"/>
    <w:rsid w:val="00A1640F"/>
    <w:rsid w:val="00A270C3"/>
    <w:rsid w:val="00A317A9"/>
    <w:rsid w:val="00A31DDB"/>
    <w:rsid w:val="00A41149"/>
    <w:rsid w:val="00A47A5A"/>
    <w:rsid w:val="00A56D57"/>
    <w:rsid w:val="00A64BB1"/>
    <w:rsid w:val="00A65BDA"/>
    <w:rsid w:val="00A73A32"/>
    <w:rsid w:val="00A748C5"/>
    <w:rsid w:val="00A7586C"/>
    <w:rsid w:val="00A77DEB"/>
    <w:rsid w:val="00A804E5"/>
    <w:rsid w:val="00A91063"/>
    <w:rsid w:val="00AA03E0"/>
    <w:rsid w:val="00AB24C8"/>
    <w:rsid w:val="00AB46D8"/>
    <w:rsid w:val="00AC2247"/>
    <w:rsid w:val="00AD7D5C"/>
    <w:rsid w:val="00AF42F8"/>
    <w:rsid w:val="00AF5290"/>
    <w:rsid w:val="00B00DE8"/>
    <w:rsid w:val="00B11064"/>
    <w:rsid w:val="00B15BFD"/>
    <w:rsid w:val="00B16D95"/>
    <w:rsid w:val="00B17FF2"/>
    <w:rsid w:val="00B20316"/>
    <w:rsid w:val="00B21307"/>
    <w:rsid w:val="00B24219"/>
    <w:rsid w:val="00B30928"/>
    <w:rsid w:val="00B34E3C"/>
    <w:rsid w:val="00B35D80"/>
    <w:rsid w:val="00B42BB4"/>
    <w:rsid w:val="00B506CD"/>
    <w:rsid w:val="00B614AA"/>
    <w:rsid w:val="00B62597"/>
    <w:rsid w:val="00B65CD9"/>
    <w:rsid w:val="00B70FE8"/>
    <w:rsid w:val="00B93970"/>
    <w:rsid w:val="00BA100D"/>
    <w:rsid w:val="00BA5866"/>
    <w:rsid w:val="00BA6146"/>
    <w:rsid w:val="00BB5298"/>
    <w:rsid w:val="00BB531B"/>
    <w:rsid w:val="00BB5340"/>
    <w:rsid w:val="00BB6921"/>
    <w:rsid w:val="00BB7979"/>
    <w:rsid w:val="00BC0770"/>
    <w:rsid w:val="00BD3FC6"/>
    <w:rsid w:val="00BD47E3"/>
    <w:rsid w:val="00BD56EF"/>
    <w:rsid w:val="00BE37AE"/>
    <w:rsid w:val="00BF331B"/>
    <w:rsid w:val="00BF6B27"/>
    <w:rsid w:val="00C0107E"/>
    <w:rsid w:val="00C10A93"/>
    <w:rsid w:val="00C165DC"/>
    <w:rsid w:val="00C439EC"/>
    <w:rsid w:val="00C5307B"/>
    <w:rsid w:val="00C62C77"/>
    <w:rsid w:val="00C6330A"/>
    <w:rsid w:val="00C6485F"/>
    <w:rsid w:val="00C72168"/>
    <w:rsid w:val="00C72348"/>
    <w:rsid w:val="00C757F4"/>
    <w:rsid w:val="00C75A9D"/>
    <w:rsid w:val="00C7678C"/>
    <w:rsid w:val="00C82822"/>
    <w:rsid w:val="00C87C32"/>
    <w:rsid w:val="00C94D5B"/>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73AF"/>
    <w:rsid w:val="00D21704"/>
    <w:rsid w:val="00D2209D"/>
    <w:rsid w:val="00D251ED"/>
    <w:rsid w:val="00D27B9E"/>
    <w:rsid w:val="00D304F0"/>
    <w:rsid w:val="00D341D0"/>
    <w:rsid w:val="00D60AA3"/>
    <w:rsid w:val="00D649D2"/>
    <w:rsid w:val="00D76126"/>
    <w:rsid w:val="00D81728"/>
    <w:rsid w:val="00D831E4"/>
    <w:rsid w:val="00D95034"/>
    <w:rsid w:val="00D95949"/>
    <w:rsid w:val="00D97630"/>
    <w:rsid w:val="00DA23DE"/>
    <w:rsid w:val="00DA2DD4"/>
    <w:rsid w:val="00DA3584"/>
    <w:rsid w:val="00DA5B30"/>
    <w:rsid w:val="00DB29E9"/>
    <w:rsid w:val="00DB3A0C"/>
    <w:rsid w:val="00DD5E2E"/>
    <w:rsid w:val="00DE34CF"/>
    <w:rsid w:val="00DF1112"/>
    <w:rsid w:val="00DF60A4"/>
    <w:rsid w:val="00DF6217"/>
    <w:rsid w:val="00DF6F3E"/>
    <w:rsid w:val="00E1605D"/>
    <w:rsid w:val="00E266C3"/>
    <w:rsid w:val="00E26D5E"/>
    <w:rsid w:val="00E3105E"/>
    <w:rsid w:val="00E32B6B"/>
    <w:rsid w:val="00E408B3"/>
    <w:rsid w:val="00E5387A"/>
    <w:rsid w:val="00E55E84"/>
    <w:rsid w:val="00E616CF"/>
    <w:rsid w:val="00E65818"/>
    <w:rsid w:val="00E85DFF"/>
    <w:rsid w:val="00E9410E"/>
    <w:rsid w:val="00E9457D"/>
    <w:rsid w:val="00EB5B3B"/>
    <w:rsid w:val="00EB68B0"/>
    <w:rsid w:val="00EC2A11"/>
    <w:rsid w:val="00EC7553"/>
    <w:rsid w:val="00ED1562"/>
    <w:rsid w:val="00ED71AF"/>
    <w:rsid w:val="00EE6133"/>
    <w:rsid w:val="00F01259"/>
    <w:rsid w:val="00F12D18"/>
    <w:rsid w:val="00F167E6"/>
    <w:rsid w:val="00F279CD"/>
    <w:rsid w:val="00F35647"/>
    <w:rsid w:val="00F4190F"/>
    <w:rsid w:val="00F4504C"/>
    <w:rsid w:val="00F45798"/>
    <w:rsid w:val="00F5077C"/>
    <w:rsid w:val="00F5135F"/>
    <w:rsid w:val="00F563F1"/>
    <w:rsid w:val="00F65E78"/>
    <w:rsid w:val="00F66479"/>
    <w:rsid w:val="00F67044"/>
    <w:rsid w:val="00F72C70"/>
    <w:rsid w:val="00F73BD4"/>
    <w:rsid w:val="00FA5930"/>
    <w:rsid w:val="00FA5955"/>
    <w:rsid w:val="00FA71A5"/>
    <w:rsid w:val="00FB1739"/>
    <w:rsid w:val="00FB52A0"/>
    <w:rsid w:val="00FB745D"/>
    <w:rsid w:val="00FC06E1"/>
    <w:rsid w:val="00FC23F7"/>
    <w:rsid w:val="00FC2B9A"/>
    <w:rsid w:val="00FC60F9"/>
    <w:rsid w:val="00FD6DD1"/>
    <w:rsid w:val="00FE0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BC02BA"/>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D415-7BD8-45AC-8678-999A7E7E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