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F9556F" w:rsidRPr="00BC6FAA" w:rsidP="00F9556F" w14:paraId="20593F18" w14:textId="77777777">
      <w:pPr>
        <w:pStyle w:val="Title"/>
        <w:spacing w:after="120"/>
      </w:pPr>
      <w:bookmarkStart w:id="0" w:name="_GoBack"/>
      <w:bookmarkEnd w:id="0"/>
      <w:r w:rsidRPr="00BC6FAA">
        <w:t>Agenda</w:t>
      </w:r>
    </w:p>
    <w:p w:rsidR="00F9556F" w:rsidRPr="00F9556F" w:rsidP="00F9556F" w14:paraId="1AD63531" w14:textId="77777777">
      <w:pPr>
        <w:pStyle w:val="Heading2"/>
        <w:spacing w:before="0" w:line="320" w:lineRule="exact"/>
        <w:jc w:val="center"/>
        <w:rPr>
          <w:sz w:val="32"/>
        </w:rPr>
      </w:pPr>
      <w:r w:rsidRPr="00F9556F">
        <w:rPr>
          <w:sz w:val="32"/>
        </w:rPr>
        <w:t>PJM General Session</w:t>
      </w:r>
    </w:p>
    <w:p w:rsidR="00F9556F" w:rsidRPr="00F9556F" w:rsidP="00F9556F" w14:paraId="26C3587E" w14:textId="77777777">
      <w:pPr>
        <w:pStyle w:val="Heading2"/>
        <w:spacing w:before="0" w:after="120" w:line="320" w:lineRule="exact"/>
        <w:jc w:val="center"/>
        <w:rPr>
          <w:sz w:val="32"/>
        </w:rPr>
      </w:pPr>
      <w:r w:rsidRPr="00F9556F">
        <w:rPr>
          <w:sz w:val="32"/>
        </w:rPr>
        <w:t>Exploring the Intersection of Decarbonization and Reliability</w:t>
      </w:r>
    </w:p>
    <w:p w:rsidR="00F9556F" w:rsidRPr="00F9556F" w:rsidP="00F9556F" w14:paraId="2F269C63" w14:textId="278A6A4F">
      <w:pPr>
        <w:pStyle w:val="Heading3"/>
        <w:spacing w:before="0" w:after="120"/>
        <w:jc w:val="center"/>
        <w:rPr>
          <w:b w:val="0"/>
        </w:rPr>
      </w:pPr>
      <w:r w:rsidRPr="00F9556F">
        <w:rPr>
          <w:sz w:val="28"/>
          <w:shd w:val="clear" w:color="auto" w:fill="FFFFFF"/>
        </w:rPr>
        <w:t>Via Web</w:t>
      </w:r>
      <w:r w:rsidR="00ED0636">
        <w:rPr>
          <w:sz w:val="28"/>
          <w:shd w:val="clear" w:color="auto" w:fill="FFFFFF"/>
        </w:rPr>
        <w:t>e</w:t>
      </w:r>
      <w:r w:rsidRPr="00F9556F">
        <w:rPr>
          <w:sz w:val="28"/>
          <w:shd w:val="clear" w:color="auto" w:fill="FFFFFF"/>
        </w:rPr>
        <w:t>x</w:t>
      </w:r>
    </w:p>
    <w:tbl>
      <w:tblPr>
        <w:tblW w:w="10170" w:type="dxa"/>
        <w:tblInd w:w="-365" w:type="dxa"/>
        <w:tblCellMar>
          <w:top w:w="86" w:type="dxa"/>
          <w:left w:w="115" w:type="dxa"/>
          <w:bottom w:w="43" w:type="dxa"/>
          <w:right w:w="115" w:type="dxa"/>
        </w:tblCellMar>
        <w:tblLook w:val="04A0"/>
      </w:tblPr>
      <w:tblGrid>
        <w:gridCol w:w="1445"/>
        <w:gridCol w:w="8725"/>
      </w:tblGrid>
      <w:tr w14:paraId="77B14209" w14:textId="77777777" w:rsidTr="00003D32">
        <w:tblPrEx>
          <w:tblW w:w="10170" w:type="dxa"/>
          <w:tblInd w:w="-365" w:type="dxa"/>
          <w:tblCellMar>
            <w:top w:w="86" w:type="dxa"/>
            <w:left w:w="115" w:type="dxa"/>
            <w:bottom w:w="43" w:type="dxa"/>
            <w:right w:w="115" w:type="dxa"/>
          </w:tblCellMar>
          <w:tblLook w:val="04A0"/>
        </w:tblPrEx>
        <w:trPr>
          <w:trHeight w:val="539"/>
        </w:trPr>
        <w:tc>
          <w:tcPr>
            <w:tcW w:w="10170" w:type="dxa"/>
            <w:gridSpan w:val="2"/>
            <w:shd w:val="clear" w:color="auto" w:fill="auto"/>
            <w:vAlign w:val="center"/>
          </w:tcPr>
          <w:p w:rsidR="00F9556F" w:rsidRPr="00F9556F" w:rsidP="00F9556F" w14:paraId="774A47CC" w14:textId="21FDD64C">
            <w:pPr>
              <w:spacing w:after="0" w:line="240" w:lineRule="auto"/>
              <w:jc w:val="center"/>
              <w:rPr>
                <w:rFonts w:ascii="Arial" w:hAnsi="Arial" w:cs="Arial"/>
                <w:b/>
                <w:color w:val="9BBB59"/>
                <w:sz w:val="36"/>
              </w:rPr>
            </w:pPr>
            <w:r w:rsidRPr="00F9556F">
              <w:rPr>
                <w:b/>
                <w:color w:val="013366" w:themeColor="accent1"/>
                <w:sz w:val="36"/>
              </w:rPr>
              <w:t>May 4, 2021 | 9:30</w:t>
            </w:r>
            <w:r w:rsidR="00ED0636">
              <w:rPr>
                <w:b/>
                <w:color w:val="013366" w:themeColor="accent1"/>
                <w:sz w:val="36"/>
              </w:rPr>
              <w:t xml:space="preserve"> a.m. to</w:t>
            </w:r>
            <w:r w:rsidR="00ED0636">
              <w:rPr>
                <w:rFonts w:ascii="Arial" w:hAnsi="Arial" w:cs="Arial"/>
                <w:b/>
                <w:color w:val="013366" w:themeColor="accent1"/>
                <w:sz w:val="36"/>
              </w:rPr>
              <w:t xml:space="preserve"> </w:t>
            </w:r>
            <w:r w:rsidRPr="00F9556F">
              <w:rPr>
                <w:b/>
                <w:color w:val="013366" w:themeColor="accent1"/>
                <w:sz w:val="36"/>
              </w:rPr>
              <w:t xml:space="preserve">12:30 </w:t>
            </w:r>
            <w:r w:rsidR="00ED0636">
              <w:rPr>
                <w:b/>
                <w:color w:val="013366" w:themeColor="accent1"/>
                <w:sz w:val="36"/>
              </w:rPr>
              <w:t>p.m.</w:t>
            </w:r>
          </w:p>
        </w:tc>
      </w:tr>
      <w:tr w14:paraId="41FC1DB2" w14:textId="77777777" w:rsidTr="00003D32">
        <w:tblPrEx>
          <w:tblW w:w="10170" w:type="dxa"/>
          <w:tblInd w:w="-365" w:type="dxa"/>
          <w:tblCellMar>
            <w:top w:w="86" w:type="dxa"/>
            <w:left w:w="115" w:type="dxa"/>
            <w:bottom w:w="43" w:type="dxa"/>
            <w:right w:w="115" w:type="dxa"/>
          </w:tblCellMar>
          <w:tblLook w:val="04A0"/>
        </w:tblPrEx>
        <w:trPr>
          <w:trHeight w:val="926"/>
        </w:trPr>
        <w:tc>
          <w:tcPr>
            <w:tcW w:w="1445" w:type="dxa"/>
            <w:shd w:val="clear" w:color="auto" w:fill="E7F8FF"/>
          </w:tcPr>
          <w:p w:rsidR="00F9556F" w:rsidRPr="00F9556F" w:rsidP="00F9556F" w14:paraId="663F46E2" w14:textId="77777777">
            <w:pPr>
              <w:pStyle w:val="Time"/>
            </w:pPr>
            <w:r w:rsidRPr="00F9556F">
              <w:t>9:30 a.m.</w:t>
            </w:r>
          </w:p>
        </w:tc>
        <w:tc>
          <w:tcPr>
            <w:tcW w:w="8725" w:type="dxa"/>
            <w:shd w:val="clear" w:color="auto" w:fill="E7F8FF"/>
          </w:tcPr>
          <w:p w:rsidR="00F9556F" w:rsidRPr="002A450E" w:rsidP="002A450E" w14:paraId="248F306F" w14:textId="77777777">
            <w:pPr>
              <w:pStyle w:val="Tablesubtitle"/>
            </w:pPr>
            <w:r w:rsidRPr="002A450E">
              <w:t>Welcome</w:t>
            </w:r>
          </w:p>
          <w:p w:rsidR="00F9556F" w:rsidRPr="00EF486C" w:rsidP="002A450E" w14:paraId="0B8D2CCB" w14:textId="77777777">
            <w:r w:rsidRPr="002A450E">
              <w:rPr>
                <w:rStyle w:val="SubtleEmphasis"/>
              </w:rPr>
              <w:t>Manu Asthana,</w:t>
            </w:r>
            <w:r w:rsidRPr="002A450E">
              <w:rPr>
                <w:color w:val="00B0F0" w:themeColor="accent3"/>
              </w:rPr>
              <w:t xml:space="preserve"> </w:t>
            </w:r>
            <w:r w:rsidRPr="00EF486C">
              <w:t>President and CEO, PJM Interconnection</w:t>
            </w:r>
          </w:p>
        </w:tc>
      </w:tr>
      <w:tr w14:paraId="2476480C" w14:textId="77777777" w:rsidTr="00003D32">
        <w:tblPrEx>
          <w:tblW w:w="10170" w:type="dxa"/>
          <w:tblInd w:w="-365" w:type="dxa"/>
          <w:tblCellMar>
            <w:top w:w="86" w:type="dxa"/>
            <w:left w:w="115" w:type="dxa"/>
            <w:bottom w:w="43" w:type="dxa"/>
            <w:right w:w="115" w:type="dxa"/>
          </w:tblCellMar>
          <w:tblLook w:val="04A0"/>
        </w:tblPrEx>
        <w:trPr>
          <w:trHeight w:val="728"/>
        </w:trPr>
        <w:tc>
          <w:tcPr>
            <w:tcW w:w="1445" w:type="dxa"/>
          </w:tcPr>
          <w:p w:rsidR="00F9556F" w:rsidRPr="00F9556F" w:rsidP="00D83059" w14:paraId="000C071E" w14:textId="6FA6D859">
            <w:pPr>
              <w:pStyle w:val="Time"/>
            </w:pPr>
            <w:r>
              <w:t>9:45</w:t>
            </w:r>
            <w:r w:rsidRPr="00F9556F">
              <w:t xml:space="preserve"> a.m.</w:t>
            </w:r>
          </w:p>
        </w:tc>
        <w:tc>
          <w:tcPr>
            <w:tcW w:w="8725" w:type="dxa"/>
          </w:tcPr>
          <w:p w:rsidR="00F9556F" w:rsidP="002A450E" w14:paraId="6879A804" w14:textId="77777777">
            <w:pPr>
              <w:pStyle w:val="Tablesubtitle"/>
            </w:pPr>
            <w:r>
              <w:t>Keynote: The NERC Perspective</w:t>
            </w:r>
          </w:p>
          <w:p w:rsidR="00F9556F" w:rsidRPr="000F31B3" w:rsidP="002A450E" w14:paraId="1E2FA269" w14:textId="77777777">
            <w:pPr>
              <w:rPr>
                <w:rFonts w:ascii="Arial" w:hAnsi="Arial"/>
                <w:b/>
              </w:rPr>
            </w:pPr>
            <w:r w:rsidRPr="002A450E">
              <w:rPr>
                <w:rStyle w:val="SubtleEmphasis"/>
              </w:rPr>
              <w:t>James Robb,</w:t>
            </w:r>
            <w:r w:rsidRPr="002A450E">
              <w:rPr>
                <w:b/>
                <w:color w:val="00B0F0" w:themeColor="accent3"/>
                <w:sz w:val="28"/>
              </w:rPr>
              <w:t xml:space="preserve"> </w:t>
            </w:r>
            <w:r>
              <w:t>President and CEO, North American Electric Reliability Corporation</w:t>
            </w:r>
          </w:p>
        </w:tc>
      </w:tr>
      <w:tr w14:paraId="5CB3B7C2" w14:textId="77777777" w:rsidTr="00003D32">
        <w:tblPrEx>
          <w:tblW w:w="10170" w:type="dxa"/>
          <w:tblInd w:w="-365" w:type="dxa"/>
          <w:tblCellMar>
            <w:top w:w="86" w:type="dxa"/>
            <w:left w:w="115" w:type="dxa"/>
            <w:bottom w:w="43" w:type="dxa"/>
            <w:right w:w="115" w:type="dxa"/>
          </w:tblCellMar>
          <w:tblLook w:val="04A0"/>
        </w:tblPrEx>
        <w:trPr>
          <w:trHeight w:val="1106"/>
        </w:trPr>
        <w:tc>
          <w:tcPr>
            <w:tcW w:w="1445" w:type="dxa"/>
            <w:vMerge w:val="restart"/>
            <w:shd w:val="clear" w:color="auto" w:fill="E7F8FF"/>
          </w:tcPr>
          <w:p w:rsidR="00F9556F" w:rsidRPr="00F9556F" w:rsidP="00D83059" w14:paraId="68B6CD26" w14:textId="7448A2B5">
            <w:pPr>
              <w:pStyle w:val="Time"/>
            </w:pPr>
            <w:r w:rsidRPr="00F9556F">
              <w:t>10:1</w:t>
            </w:r>
            <w:r w:rsidR="00D83059">
              <w:t>5</w:t>
            </w:r>
            <w:r w:rsidRPr="00F9556F">
              <w:t xml:space="preserve"> a.m.</w:t>
            </w:r>
          </w:p>
        </w:tc>
        <w:tc>
          <w:tcPr>
            <w:tcW w:w="8725" w:type="dxa"/>
            <w:shd w:val="clear" w:color="auto" w:fill="E7F8FF"/>
          </w:tcPr>
          <w:p w:rsidR="00F9556F" w:rsidP="002A450E" w14:paraId="47E90E02" w14:textId="77777777">
            <w:pPr>
              <w:pStyle w:val="Tablesubtitle"/>
            </w:pPr>
            <w:r>
              <w:t>Panel Discussion – Exploring the Intersection of Decarbonization and Reliability</w:t>
            </w:r>
          </w:p>
          <w:p w:rsidR="00F9556F" w:rsidP="002A450E" w14:paraId="52CB4F72" w14:textId="2212EDAA">
            <w:pPr>
              <w:rPr>
                <w:b/>
                <w:color w:val="9BBB59"/>
                <w:sz w:val="32"/>
              </w:rPr>
            </w:pPr>
            <w:r w:rsidRPr="002A450E">
              <w:rPr>
                <w:rStyle w:val="SubtleEmphasis"/>
              </w:rPr>
              <w:t>Panel moderated by Mike Bryson,</w:t>
            </w:r>
            <w:r w:rsidRPr="002A450E">
              <w:rPr>
                <w:b/>
                <w:color w:val="00B0F0" w:themeColor="accent3"/>
              </w:rPr>
              <w:t xml:space="preserve"> </w:t>
            </w:r>
            <w:r w:rsidRPr="00103BB0">
              <w:t>Sr. V</w:t>
            </w:r>
            <w:r w:rsidR="00B4186B">
              <w:t xml:space="preserve">ice </w:t>
            </w:r>
            <w:r w:rsidRPr="00103BB0">
              <w:t>P</w:t>
            </w:r>
            <w:r w:rsidR="00B4186B">
              <w:t>resident</w:t>
            </w:r>
            <w:r w:rsidR="00541264">
              <w:t xml:space="preserve"> </w:t>
            </w:r>
            <w:r w:rsidR="00541264">
              <w:rPr>
                <w:rFonts w:ascii="Arial" w:hAnsi="Arial" w:cs="Arial"/>
              </w:rPr>
              <w:t>–</w:t>
            </w:r>
            <w:r w:rsidRPr="00103BB0">
              <w:t xml:space="preserve"> Operations, PJM Interconnection</w:t>
            </w:r>
          </w:p>
        </w:tc>
      </w:tr>
      <w:tr w14:paraId="0EA3E97B" w14:textId="77777777" w:rsidTr="00003D32">
        <w:tblPrEx>
          <w:tblW w:w="10170" w:type="dxa"/>
          <w:tblInd w:w="-365" w:type="dxa"/>
          <w:tblCellMar>
            <w:top w:w="86" w:type="dxa"/>
            <w:left w:w="115" w:type="dxa"/>
            <w:bottom w:w="43" w:type="dxa"/>
            <w:right w:w="115" w:type="dxa"/>
          </w:tblCellMar>
          <w:tblLook w:val="04A0"/>
        </w:tblPrEx>
        <w:trPr>
          <w:trHeight w:val="1313"/>
        </w:trPr>
        <w:tc>
          <w:tcPr>
            <w:tcW w:w="1445" w:type="dxa"/>
            <w:vMerge/>
            <w:shd w:val="clear" w:color="auto" w:fill="E7F8FF"/>
          </w:tcPr>
          <w:p w:rsidR="00F9556F" w:rsidRPr="00F9556F" w:rsidP="00F9556F" w14:paraId="759D642A" w14:textId="77777777">
            <w:pPr>
              <w:pStyle w:val="Time"/>
            </w:pPr>
          </w:p>
        </w:tc>
        <w:tc>
          <w:tcPr>
            <w:tcW w:w="8725" w:type="dxa"/>
            <w:shd w:val="clear" w:color="auto" w:fill="E7F8FF"/>
          </w:tcPr>
          <w:p w:rsidR="00F9556F" w:rsidP="00957D9E" w14:paraId="3218A588" w14:textId="4B34543F">
            <w:pPr>
              <w:spacing w:after="0" w:line="240" w:lineRule="auto"/>
            </w:pPr>
            <w:r>
              <w:rPr>
                <w:rStyle w:val="SubtleEmphasis"/>
                <w:i/>
                <w:color w:val="013366" w:themeColor="accent1"/>
              </w:rPr>
              <w:t xml:space="preserve">The Honorable </w:t>
            </w:r>
            <w:r w:rsidRPr="00061CE3" w:rsidR="002A450E">
              <w:rPr>
                <w:rStyle w:val="SubtleEmphasis"/>
                <w:i/>
                <w:color w:val="013366" w:themeColor="accent1"/>
              </w:rPr>
              <w:t>Patricia Hoffman,</w:t>
            </w:r>
            <w:r w:rsidRPr="00061CE3" w:rsidR="002A450E">
              <w:rPr>
                <w:rFonts w:ascii="Arial" w:hAnsi="Arial"/>
                <w:b/>
                <w:i/>
                <w:color w:val="013366" w:themeColor="accent1"/>
              </w:rPr>
              <w:t xml:space="preserve"> </w:t>
            </w:r>
            <w:r w:rsidRPr="00957D9E">
              <w:t>Acting Assistant Secretary, Principal Deputy Assistant Secretary</w:t>
            </w:r>
            <w:r w:rsidR="00541264">
              <w:t xml:space="preserve"> </w:t>
            </w:r>
            <w:r w:rsidR="00541264">
              <w:rPr>
                <w:rFonts w:ascii="Arial" w:hAnsi="Arial" w:cs="Arial"/>
              </w:rPr>
              <w:t>–</w:t>
            </w:r>
            <w:r w:rsidRPr="00957D9E">
              <w:t xml:space="preserve"> Office of Electricity</w:t>
            </w:r>
            <w:r>
              <w:t>, U.S. Department of Energy</w:t>
            </w:r>
          </w:p>
          <w:p w:rsidR="00957D9E" w:rsidRPr="00957D9E" w:rsidP="00957D9E" w14:paraId="0C349B61" w14:textId="77777777">
            <w:pPr>
              <w:spacing w:after="0" w:line="240" w:lineRule="auto"/>
            </w:pPr>
          </w:p>
          <w:p w:rsidR="00957D9E" w:rsidP="00957D9E" w14:paraId="3EBFFC03" w14:textId="3190C549">
            <w:pPr>
              <w:spacing w:after="0" w:line="240" w:lineRule="auto"/>
            </w:pPr>
            <w:r w:rsidRPr="00061CE3">
              <w:rPr>
                <w:rFonts w:ascii="Arial" w:hAnsi="Arial"/>
                <w:b/>
                <w:i/>
                <w:color w:val="013366" w:themeColor="accent1"/>
              </w:rPr>
              <w:t>Anto</w:t>
            </w:r>
            <w:r w:rsidR="00D83059">
              <w:rPr>
                <w:rFonts w:ascii="Arial" w:hAnsi="Arial"/>
                <w:b/>
                <w:i/>
                <w:color w:val="013366" w:themeColor="accent1"/>
              </w:rPr>
              <w:t>i</w:t>
            </w:r>
            <w:r w:rsidRPr="00061CE3">
              <w:rPr>
                <w:rFonts w:ascii="Arial" w:hAnsi="Arial"/>
                <w:b/>
                <w:i/>
                <w:color w:val="013366" w:themeColor="accent1"/>
              </w:rPr>
              <w:t>ne Lucas,</w:t>
            </w:r>
            <w:r w:rsidRPr="00061CE3">
              <w:rPr>
                <w:i/>
                <w:color w:val="013366" w:themeColor="accent1"/>
              </w:rPr>
              <w:t xml:space="preserve"> </w:t>
            </w:r>
            <w:r w:rsidRPr="00061CE3">
              <w:rPr>
                <w:rFonts w:ascii="Arial" w:hAnsi="Arial" w:cs="Arial"/>
                <w:i/>
                <w:color w:val="013366" w:themeColor="accent1"/>
              </w:rPr>
              <w:t>‎</w:t>
            </w:r>
            <w:r w:rsidRPr="00957D9E">
              <w:t>V</w:t>
            </w:r>
            <w:r w:rsidR="00B4186B">
              <w:t xml:space="preserve">ice </w:t>
            </w:r>
            <w:r w:rsidRPr="00957D9E">
              <w:t>P</w:t>
            </w:r>
            <w:r w:rsidR="00B4186B">
              <w:t>resident</w:t>
            </w:r>
            <w:r w:rsidR="00541264">
              <w:t xml:space="preserve"> </w:t>
            </w:r>
            <w:r w:rsidR="00541264">
              <w:rPr>
                <w:rFonts w:ascii="Arial" w:hAnsi="Arial" w:cs="Arial"/>
              </w:rPr>
              <w:t>–</w:t>
            </w:r>
            <w:r w:rsidRPr="00957D9E">
              <w:t xml:space="preserve"> Engineering, Southwest Power Pool</w:t>
            </w:r>
          </w:p>
          <w:p w:rsidR="00D83059" w:rsidP="00957D9E" w14:paraId="772CA67E" w14:textId="06FC2C3C">
            <w:pPr>
              <w:spacing w:after="0" w:line="240" w:lineRule="auto"/>
            </w:pPr>
          </w:p>
          <w:p w:rsidR="00D83059" w:rsidRPr="00957D9E" w:rsidP="00957D9E" w14:paraId="1339A209" w14:textId="19ED578A">
            <w:pPr>
              <w:spacing w:after="0" w:line="240" w:lineRule="auto"/>
            </w:pPr>
            <w:r w:rsidRPr="00D83059">
              <w:rPr>
                <w:rFonts w:ascii="Arial" w:hAnsi="Arial"/>
                <w:b/>
                <w:i/>
                <w:color w:val="013366" w:themeColor="accent1"/>
              </w:rPr>
              <w:t>Elliott Nethercutt</w:t>
            </w:r>
            <w:r w:rsidR="00541264">
              <w:rPr>
                <w:rFonts w:ascii="Arial" w:hAnsi="Arial"/>
                <w:b/>
                <w:i/>
                <w:color w:val="013366" w:themeColor="accent1"/>
              </w:rPr>
              <w:t>,</w:t>
            </w:r>
            <w:r>
              <w:t xml:space="preserve"> Principal Researcher, National Regulatory Research Institute</w:t>
            </w:r>
          </w:p>
          <w:p w:rsidR="00F9556F" w:rsidRPr="00061CE3" w:rsidP="00957D9E" w14:paraId="76931910" w14:textId="7871BF2C">
            <w:pPr>
              <w:spacing w:after="0" w:line="240" w:lineRule="auto"/>
              <w:rPr>
                <w:i/>
                <w:highlight w:val="yellow"/>
              </w:rPr>
            </w:pPr>
            <w:r w:rsidRPr="00061CE3">
              <w:rPr>
                <w:i/>
              </w:rPr>
              <w:t xml:space="preserve"> </w:t>
            </w:r>
          </w:p>
          <w:p w:rsidR="00F9556F" w:rsidRPr="00F9556F" w:rsidP="00B4186B" w14:paraId="04355FAC" w14:textId="414410B1">
            <w:r w:rsidRPr="00061CE3">
              <w:rPr>
                <w:rFonts w:ascii="Arial" w:hAnsi="Arial"/>
                <w:b/>
                <w:i/>
                <w:color w:val="013366" w:themeColor="accent1"/>
              </w:rPr>
              <w:t>Phil Petting</w:t>
            </w:r>
            <w:r w:rsidR="00B4186B">
              <w:rPr>
                <w:rFonts w:ascii="Arial" w:hAnsi="Arial"/>
                <w:b/>
                <w:i/>
                <w:color w:val="013366" w:themeColor="accent1"/>
              </w:rPr>
              <w:t>ill</w:t>
            </w:r>
            <w:r w:rsidRPr="00061CE3">
              <w:rPr>
                <w:rFonts w:ascii="Arial" w:hAnsi="Arial"/>
                <w:b/>
                <w:i/>
                <w:color w:val="013366" w:themeColor="accent1"/>
              </w:rPr>
              <w:t>,</w:t>
            </w:r>
            <w:r w:rsidRPr="00061CE3">
              <w:rPr>
                <w:i/>
                <w:color w:val="013366" w:themeColor="accent1"/>
              </w:rPr>
              <w:t xml:space="preserve"> </w:t>
            </w:r>
            <w:r w:rsidRPr="00957D9E" w:rsidR="00957D9E">
              <w:t>Director</w:t>
            </w:r>
            <w:r w:rsidR="00541264">
              <w:t xml:space="preserve"> </w:t>
            </w:r>
            <w:r w:rsidR="00541264">
              <w:rPr>
                <w:rFonts w:ascii="Arial" w:hAnsi="Arial" w:cs="Arial"/>
              </w:rPr>
              <w:t>–</w:t>
            </w:r>
            <w:r w:rsidRPr="00957D9E" w:rsidR="00957D9E">
              <w:t xml:space="preserve"> Regional Integration, California Independent System Operator</w:t>
            </w:r>
          </w:p>
        </w:tc>
      </w:tr>
      <w:tr w14:paraId="6A41E7AF" w14:textId="77777777" w:rsidTr="00003D32">
        <w:tblPrEx>
          <w:tblW w:w="10170" w:type="dxa"/>
          <w:tblInd w:w="-365" w:type="dxa"/>
          <w:tblCellMar>
            <w:top w:w="86" w:type="dxa"/>
            <w:left w:w="115" w:type="dxa"/>
            <w:bottom w:w="43" w:type="dxa"/>
            <w:right w:w="115" w:type="dxa"/>
          </w:tblCellMar>
          <w:tblLook w:val="04A0"/>
        </w:tblPrEx>
        <w:trPr>
          <w:trHeight w:val="494"/>
        </w:trPr>
        <w:tc>
          <w:tcPr>
            <w:tcW w:w="1445" w:type="dxa"/>
            <w:shd w:val="clear" w:color="auto" w:fill="auto"/>
          </w:tcPr>
          <w:p w:rsidR="00F9556F" w:rsidRPr="00F9556F" w:rsidP="00F9556F" w14:paraId="4140DCAA" w14:textId="77777777">
            <w:pPr>
              <w:pStyle w:val="Time"/>
            </w:pPr>
            <w:r w:rsidRPr="00F9556F">
              <w:t>11:30 a.m.</w:t>
            </w:r>
          </w:p>
        </w:tc>
        <w:tc>
          <w:tcPr>
            <w:tcW w:w="8725" w:type="dxa"/>
            <w:shd w:val="clear" w:color="auto" w:fill="auto"/>
          </w:tcPr>
          <w:p w:rsidR="00F9556F" w:rsidRPr="005A453C" w:rsidP="002A450E" w14:paraId="705E3C72" w14:textId="77777777">
            <w:pPr>
              <w:pStyle w:val="Tablesubtitle"/>
            </w:pPr>
            <w:r>
              <w:t>Break</w:t>
            </w:r>
          </w:p>
        </w:tc>
      </w:tr>
      <w:tr w14:paraId="4D8DF752" w14:textId="77777777" w:rsidTr="00003D32">
        <w:tblPrEx>
          <w:tblW w:w="10170" w:type="dxa"/>
          <w:tblInd w:w="-365" w:type="dxa"/>
          <w:tblCellMar>
            <w:top w:w="86" w:type="dxa"/>
            <w:left w:w="115" w:type="dxa"/>
            <w:bottom w:w="43" w:type="dxa"/>
            <w:right w:w="115" w:type="dxa"/>
          </w:tblCellMar>
          <w:tblLook w:val="04A0"/>
        </w:tblPrEx>
        <w:trPr>
          <w:trHeight w:val="849"/>
        </w:trPr>
        <w:tc>
          <w:tcPr>
            <w:tcW w:w="1445" w:type="dxa"/>
            <w:shd w:val="clear" w:color="auto" w:fill="E7F8FF"/>
          </w:tcPr>
          <w:p w:rsidR="00F9556F" w:rsidRPr="00F9556F" w:rsidP="00F9556F" w14:paraId="7D621197" w14:textId="77777777">
            <w:pPr>
              <w:pStyle w:val="Time"/>
            </w:pPr>
            <w:r w:rsidRPr="00F9556F">
              <w:t>11:40 a.m.</w:t>
            </w:r>
          </w:p>
        </w:tc>
        <w:tc>
          <w:tcPr>
            <w:tcW w:w="8725" w:type="dxa"/>
            <w:shd w:val="clear" w:color="auto" w:fill="E7F8FF"/>
          </w:tcPr>
          <w:p w:rsidR="00F9556F" w:rsidP="002A450E" w14:paraId="3649D913" w14:textId="0A33CE41">
            <w:pPr>
              <w:pStyle w:val="Tablesubtitle"/>
            </w:pPr>
            <w:r>
              <w:t xml:space="preserve">Overview of PJM’s Reliability and Renewable Integration </w:t>
            </w:r>
            <w:r w:rsidR="000223E5">
              <w:t>Analyses</w:t>
            </w:r>
          </w:p>
          <w:p w:rsidR="00F9556F" w:rsidRPr="005A453C" w:rsidP="002A450E" w14:paraId="4A197442" w14:textId="6B411BAF">
            <w:pPr>
              <w:rPr>
                <w:b/>
                <w:color w:val="9BBB59"/>
                <w:sz w:val="32"/>
              </w:rPr>
            </w:pPr>
            <w:r w:rsidRPr="002A450E">
              <w:rPr>
                <w:rStyle w:val="SubtleEmphasis"/>
              </w:rPr>
              <w:t>Emanuel Bernabeu,</w:t>
            </w:r>
            <w:r>
              <w:rPr>
                <w:b/>
              </w:rPr>
              <w:t xml:space="preserve"> </w:t>
            </w:r>
            <w:r w:rsidRPr="004B555A">
              <w:t>Director</w:t>
            </w:r>
            <w:r w:rsidR="00541264">
              <w:t xml:space="preserve"> </w:t>
            </w:r>
            <w:r w:rsidR="00541264">
              <w:rPr>
                <w:rFonts w:ascii="Arial" w:hAnsi="Arial" w:cs="Arial"/>
              </w:rPr>
              <w:t>–</w:t>
            </w:r>
            <w:r w:rsidRPr="004B555A">
              <w:t xml:space="preserve"> Applied Innovation </w:t>
            </w:r>
            <w:r>
              <w:t>&amp;</w:t>
            </w:r>
            <w:r w:rsidRPr="004B555A">
              <w:t xml:space="preserve"> Analytics, PJM Interconne</w:t>
            </w:r>
            <w:r>
              <w:t>c</w:t>
            </w:r>
            <w:r w:rsidRPr="004B555A">
              <w:t>tion</w:t>
            </w:r>
          </w:p>
        </w:tc>
      </w:tr>
      <w:tr w14:paraId="2FF6343B" w14:textId="77777777" w:rsidTr="00003D32">
        <w:tblPrEx>
          <w:tblW w:w="10170" w:type="dxa"/>
          <w:tblInd w:w="-365" w:type="dxa"/>
          <w:tblCellMar>
            <w:top w:w="86" w:type="dxa"/>
            <w:left w:w="115" w:type="dxa"/>
            <w:bottom w:w="43" w:type="dxa"/>
            <w:right w:w="115" w:type="dxa"/>
          </w:tblCellMar>
          <w:tblLook w:val="04A0"/>
        </w:tblPrEx>
        <w:trPr>
          <w:trHeight w:val="683"/>
        </w:trPr>
        <w:tc>
          <w:tcPr>
            <w:tcW w:w="1445" w:type="dxa"/>
            <w:shd w:val="clear" w:color="auto" w:fill="auto"/>
          </w:tcPr>
          <w:p w:rsidR="00F9556F" w:rsidRPr="00F9556F" w:rsidP="00F9556F" w14:paraId="5A55DB7B" w14:textId="3BCFEA0E">
            <w:pPr>
              <w:pStyle w:val="Time"/>
            </w:pPr>
            <w:r w:rsidRPr="00F9556F">
              <w:t xml:space="preserve">12:25 </w:t>
            </w:r>
            <w:r w:rsidR="00541264">
              <w:t>p.m.</w:t>
            </w:r>
          </w:p>
        </w:tc>
        <w:tc>
          <w:tcPr>
            <w:tcW w:w="8725" w:type="dxa"/>
            <w:shd w:val="clear" w:color="auto" w:fill="auto"/>
          </w:tcPr>
          <w:p w:rsidR="00F9556F" w:rsidRPr="005A453C" w:rsidP="002A450E" w14:paraId="2AD1DD98" w14:textId="77777777">
            <w:pPr>
              <w:spacing w:after="0" w:line="240" w:lineRule="auto"/>
              <w:rPr>
                <w:rFonts w:ascii="Arial" w:hAnsi="Arial" w:cs="Arial"/>
                <w:b/>
                <w:color w:val="9BBB59"/>
                <w:sz w:val="32"/>
              </w:rPr>
            </w:pPr>
            <w:r w:rsidRPr="005A453C">
              <w:rPr>
                <w:rFonts w:ascii="Arial" w:hAnsi="Arial" w:cs="Arial"/>
                <w:b/>
                <w:color w:val="9BBB59"/>
                <w:sz w:val="32"/>
              </w:rPr>
              <w:t>Closing Remarks</w:t>
            </w:r>
          </w:p>
          <w:p w:rsidR="00F9556F" w:rsidRPr="00EF486C" w:rsidP="002A450E" w14:paraId="502ED6E0" w14:textId="77777777">
            <w:r w:rsidRPr="002A450E">
              <w:rPr>
                <w:rStyle w:val="SubtleEmphasis"/>
              </w:rPr>
              <w:t>Manu Asthana,</w:t>
            </w:r>
            <w:r w:rsidRPr="00EF486C">
              <w:t xml:space="preserve"> </w:t>
            </w:r>
            <w:r>
              <w:t>President and CEO, PJM Interconnection</w:t>
            </w:r>
          </w:p>
        </w:tc>
      </w:tr>
    </w:tbl>
    <w:p w:rsidR="00F9556F" w:rsidP="00F9556F" w14:paraId="133E81A5" w14:textId="77777777">
      <w:pPr>
        <w:spacing w:after="0" w:line="240" w:lineRule="auto"/>
        <w:rPr>
          <w:rFonts w:cs="Arial"/>
          <w:sz w:val="4"/>
        </w:rPr>
      </w:pPr>
    </w:p>
    <w:p w:rsidR="00F9556F" w:rsidP="00F9556F" w14:paraId="600051FC" w14:textId="77777777">
      <w:pPr>
        <w:pStyle w:val="disclaimer"/>
        <w:rPr>
          <w:b/>
          <w:sz w:val="16"/>
          <w:szCs w:val="10"/>
        </w:rPr>
      </w:pPr>
    </w:p>
    <w:p w:rsidR="002A450E" w14:paraId="07560F7C" w14:textId="77777777">
      <w:pPr>
        <w:spacing w:after="200" w:line="276" w:lineRule="auto"/>
        <w:rPr>
          <w:rFonts w:eastAsia="Times New Roman"/>
          <w:b/>
          <w:sz w:val="16"/>
          <w:szCs w:val="10"/>
        </w:rPr>
      </w:pPr>
      <w:r>
        <w:rPr>
          <w:b/>
          <w:sz w:val="16"/>
          <w:szCs w:val="10"/>
        </w:rPr>
        <w:br w:type="page"/>
      </w:r>
    </w:p>
    <w:p w:rsidR="00F9556F" w:rsidP="00F9556F" w14:paraId="0B9CC0D9" w14:textId="77777777">
      <w:pPr>
        <w:pStyle w:val="disclaimer"/>
        <w:rPr>
          <w:b/>
          <w:sz w:val="16"/>
          <w:szCs w:val="10"/>
        </w:rPr>
      </w:pPr>
    </w:p>
    <w:p w:rsidR="002A450E" w:rsidP="00F9556F" w14:paraId="179EEC2C" w14:textId="77777777">
      <w:pPr>
        <w:pStyle w:val="disclaimer"/>
        <w:rPr>
          <w:b/>
          <w:sz w:val="16"/>
          <w:szCs w:val="10"/>
        </w:rPr>
      </w:pPr>
    </w:p>
    <w:p w:rsidR="00F9556F" w:rsidRPr="00976FDC" w:rsidP="00F9556F" w14:paraId="46D71552" w14:textId="77777777">
      <w:pPr>
        <w:pStyle w:val="disclaimer"/>
        <w:rPr>
          <w:b/>
          <w:sz w:val="16"/>
          <w:szCs w:val="10"/>
        </w:rPr>
      </w:pPr>
      <w:r w:rsidRPr="00976FDC">
        <w:rPr>
          <w:b/>
          <w:sz w:val="16"/>
          <w:szCs w:val="10"/>
        </w:rPr>
        <w:t>Anti-trust:</w:t>
      </w:r>
      <w:r w:rsidRPr="00570CDD">
        <w:rPr>
          <w:rFonts w:cs="Arial"/>
          <w:b/>
          <w:color w:val="8EC000"/>
          <w:sz w:val="44"/>
        </w:rPr>
        <w:t xml:space="preserve"> </w:t>
      </w:r>
    </w:p>
    <w:p w:rsidR="00F9556F" w:rsidRPr="00976FDC" w:rsidP="00F9556F" w14:paraId="4459D39D" w14:textId="484A39AF">
      <w:pPr>
        <w:pStyle w:val="disclaimer"/>
        <w:rPr>
          <w:sz w:val="16"/>
          <w:szCs w:val="10"/>
        </w:rPr>
      </w:pPr>
      <w:r w:rsidRPr="00976FDC">
        <w:rPr>
          <w:sz w:val="16"/>
          <w:szCs w:val="10"/>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8509E1">
        <w:rPr>
          <w:sz w:val="16"/>
          <w:szCs w:val="10"/>
        </w:rPr>
        <w:t xml:space="preserve">. </w:t>
      </w:r>
      <w:r w:rsidRPr="00976FDC">
        <w:rPr>
          <w:sz w:val="16"/>
          <w:szCs w:val="10"/>
        </w:rPr>
        <w:t>If any of these items are discussed the chair will re-direct the conversation</w:t>
      </w:r>
      <w:r w:rsidR="008509E1">
        <w:rPr>
          <w:sz w:val="16"/>
          <w:szCs w:val="10"/>
        </w:rPr>
        <w:t xml:space="preserve">. </w:t>
      </w:r>
      <w:r w:rsidRPr="00976FDC">
        <w:rPr>
          <w:sz w:val="16"/>
          <w:szCs w:val="10"/>
        </w:rPr>
        <w:t>If the conversation still persists, parties will be asked to leave the meeting or the meeting will be adjourned.</w:t>
      </w:r>
    </w:p>
    <w:p w:rsidR="00F9556F" w:rsidRPr="00976FDC" w:rsidP="00F9556F" w14:paraId="45180C4C" w14:textId="77777777">
      <w:pPr>
        <w:pStyle w:val="disclaimer"/>
        <w:rPr>
          <w:sz w:val="16"/>
          <w:szCs w:val="10"/>
        </w:rPr>
      </w:pPr>
    </w:p>
    <w:p w:rsidR="00F9556F" w:rsidRPr="00976FDC" w:rsidP="00F9556F" w14:paraId="469C866B" w14:textId="77777777">
      <w:pPr>
        <w:pStyle w:val="disclaimer"/>
        <w:rPr>
          <w:b/>
          <w:sz w:val="16"/>
          <w:szCs w:val="10"/>
        </w:rPr>
      </w:pPr>
      <w:r w:rsidRPr="00976FDC">
        <w:rPr>
          <w:b/>
          <w:sz w:val="16"/>
          <w:szCs w:val="10"/>
        </w:rPr>
        <w:t>Code of Conduct:</w:t>
      </w:r>
    </w:p>
    <w:p w:rsidR="00F9556F" w:rsidRPr="00976FDC" w:rsidP="00F9556F" w14:paraId="7DDD834B" w14:textId="77777777">
      <w:pPr>
        <w:pStyle w:val="disclaimer"/>
        <w:rPr>
          <w:sz w:val="16"/>
          <w:szCs w:val="10"/>
        </w:rPr>
      </w:pPr>
      <w:r w:rsidRPr="00976FDC">
        <w:rPr>
          <w:sz w:val="16"/>
          <w:szCs w:val="10"/>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F9556F" w:rsidRPr="00976FDC" w:rsidP="00F9556F" w14:paraId="3602DEF0" w14:textId="77777777">
      <w:pPr>
        <w:pStyle w:val="disclaimer"/>
        <w:rPr>
          <w:sz w:val="16"/>
          <w:szCs w:val="10"/>
        </w:rPr>
      </w:pPr>
    </w:p>
    <w:p w:rsidR="00F9556F" w:rsidRPr="00976FDC" w:rsidP="00F9556F" w14:paraId="272F7F6C" w14:textId="77777777">
      <w:pPr>
        <w:pStyle w:val="disclaimer"/>
        <w:rPr>
          <w:b/>
          <w:sz w:val="16"/>
          <w:szCs w:val="10"/>
        </w:rPr>
      </w:pPr>
      <w:r w:rsidRPr="00976FDC">
        <w:rPr>
          <w:b/>
          <w:sz w:val="16"/>
          <w:szCs w:val="10"/>
        </w:rPr>
        <w:t xml:space="preserve">Public Meetings/Media Participation: </w:t>
      </w:r>
    </w:p>
    <w:p w:rsidR="00F9556F" w:rsidRPr="00976FDC" w:rsidP="00F9556F" w14:paraId="64380ABA" w14:textId="77777777">
      <w:pPr>
        <w:pStyle w:val="disclaimer"/>
        <w:rPr>
          <w:sz w:val="16"/>
          <w:szCs w:val="10"/>
        </w:rPr>
      </w:pPr>
      <w:r w:rsidRPr="00976FDC">
        <w:rPr>
          <w:sz w:val="16"/>
          <w:szCs w:val="10"/>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F9556F" w:rsidP="00F9556F" w14:paraId="55008020" w14:textId="77777777">
      <w:pPr>
        <w:pStyle w:val="Heading1"/>
        <w:rPr>
          <w:rFonts w:cs="Arial"/>
          <w:sz w:val="4"/>
        </w:rPr>
      </w:pP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193040</wp:posOffset>
                </wp:positionV>
                <wp:extent cx="6202680" cy="24765"/>
                <wp:effectExtent l="9525" t="13970" r="7620" b="889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6202680" cy="24765"/>
                        </a:xfrm>
                        <a:prstGeom prst="straightConnector1">
                          <a:avLst/>
                        </a:prstGeom>
                        <a:noFill/>
                        <a:ln w="9525">
                          <a:solidFill>
                            <a:srgbClr val="00B0F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5" type="#_x0000_t32" style="width:488.4pt;height:1.95pt;margin-top:15.2pt;margin-left:-6pt;flip:y;mso-height-percent:0;mso-height-relative:page;mso-width-percent:0;mso-width-relative:page;mso-wrap-distance-bottom:0;mso-wrap-distance-left:9pt;mso-wrap-distance-right:9pt;mso-wrap-distance-top:0;mso-wrap-style:square;position:absolute;visibility:visible;z-index:251659264" strokecolor="#00b0f0"/>
            </w:pict>
          </mc:Fallback>
        </mc:AlternateContent>
      </w:r>
    </w:p>
    <w:p w:rsidR="00F9556F" w:rsidRPr="00F16959" w:rsidP="002E38CB" w14:paraId="0F401D73" w14:textId="3CA967B2">
      <w:pPr>
        <w:pStyle w:val="Title"/>
        <w:spacing w:before="480"/>
      </w:pPr>
      <w:r w:rsidRPr="00F16959">
        <w:t>Summary</w:t>
      </w:r>
      <w:r>
        <w:t xml:space="preserve"> &amp; Biographies</w:t>
      </w:r>
    </w:p>
    <w:p w:rsidR="00F9556F" w:rsidP="002E38CB" w14:paraId="29B685BE" w14:textId="332F4607">
      <w:pPr>
        <w:ind w:right="-180"/>
      </w:pPr>
      <w:r>
        <w:t xml:space="preserve">This General Session is designed to </w:t>
      </w:r>
      <w:r w:rsidRPr="00B32C29">
        <w:t xml:space="preserve">engage in discussion regarding </w:t>
      </w:r>
      <w:r>
        <w:t>reliability needs to su</w:t>
      </w:r>
      <w:r w:rsidR="00660626">
        <w:t xml:space="preserve">pport decarbonization efforts. </w:t>
      </w:r>
      <w:r>
        <w:t>We will hear from industry experts on reliability needs that will emerge as our sy</w:t>
      </w:r>
      <w:r w:rsidR="00660626">
        <w:t xml:space="preserve">stem continues to decarbonize. </w:t>
      </w:r>
      <w:r>
        <w:t>Further, PJM will provide an overview of reliability and renewable integration analyses it has been conducting.</w:t>
      </w:r>
    </w:p>
    <w:p w:rsidR="00F9556F" w:rsidP="00F9556F" w14:paraId="5A359001" w14:textId="5D1DBD44"/>
    <w:p w:rsidR="00CC509E" w:rsidP="00F9556F" w14:paraId="58F2BF9B" w14:textId="688F24E5"/>
    <w:p w:rsidR="002E38CB" w:rsidP="00F9556F" w14:paraId="56874CAB" w14:textId="1F95100B"/>
    <w:p w:rsidR="002E38CB" w:rsidP="00F9556F" w14:paraId="34953A42" w14:textId="77777777"/>
    <w:p w:rsidR="00CC509E" w:rsidP="00F9556F" w14:paraId="60EEBC68" w14:textId="4E7293E9"/>
    <w:p w:rsidR="002E38CB" w:rsidP="00F9556F" w14:paraId="1CA131A1" w14:textId="6EF9BB1D"/>
    <w:p w:rsidR="002E38CB" w:rsidP="00F9556F" w14:paraId="7D8C2844" w14:textId="49DCDB5D"/>
    <w:p w:rsidR="00A87D55" w:rsidP="00F9556F" w14:paraId="38D8546E" w14:textId="5E2BCB0A"/>
    <w:p w:rsidR="00A87D55" w:rsidP="00F9556F" w14:paraId="5119189F" w14:textId="4AD26B5F"/>
    <w:p w:rsidR="00A87D55" w:rsidP="00F9556F" w14:paraId="056DECAA" w14:textId="651CDE5E"/>
    <w:p w:rsidR="00A87D55" w:rsidP="00F9556F" w14:paraId="1F8BA739" w14:textId="4B9AFED6"/>
    <w:p w:rsidR="00A87D55" w:rsidP="00F9556F" w14:paraId="142F3C60" w14:textId="732BE02D"/>
    <w:p w:rsidR="00A87D55" w:rsidP="00F9556F" w14:paraId="75440C1D" w14:textId="4E91B8C8"/>
    <w:p w:rsidR="00A87D55" w:rsidP="00F9556F" w14:paraId="476AC16C" w14:textId="658B343C"/>
    <w:p w:rsidR="00A87D55" w:rsidP="00F9556F" w14:paraId="285FC022" w14:textId="7C5AA620"/>
    <w:p w:rsidR="00A87D55" w:rsidP="00F9556F" w14:paraId="3CA4084B" w14:textId="77777777"/>
    <w:tbl>
      <w:tblPr>
        <w:tblStyle w:val="TableGrid"/>
        <w:tblW w:w="9723" w:type="dxa"/>
        <w:tblBorders>
          <w:top w:val="none" w:sz="0" w:space="0" w:color="auto"/>
          <w:left w:val="none" w:sz="0" w:space="0" w:color="auto"/>
          <w:bottom w:val="none" w:sz="0" w:space="0" w:color="auto"/>
          <w:right w:val="none" w:sz="0" w:space="0" w:color="auto"/>
          <w:insideH w:val="none" w:sz="0" w:space="0" w:color="auto"/>
          <w:insideV w:val="single" w:sz="18" w:space="0" w:color="FFFFFF" w:themeColor="background1"/>
        </w:tblBorders>
        <w:tblCellMar>
          <w:top w:w="58" w:type="dxa"/>
          <w:left w:w="115" w:type="dxa"/>
          <w:right w:w="115" w:type="dxa"/>
        </w:tblCellMar>
        <w:tblLook w:val="04A0"/>
      </w:tblPr>
      <w:tblGrid>
        <w:gridCol w:w="2227"/>
        <w:gridCol w:w="7496"/>
      </w:tblGrid>
      <w:tr w14:paraId="4DE01925" w14:textId="77777777" w:rsidTr="009D7613">
        <w:tblPrEx>
          <w:tblW w:w="9723" w:type="dxa"/>
          <w:tblBorders>
            <w:top w:val="none" w:sz="0" w:space="0" w:color="auto"/>
            <w:left w:val="none" w:sz="0" w:space="0" w:color="auto"/>
            <w:bottom w:val="none" w:sz="0" w:space="0" w:color="auto"/>
            <w:right w:val="none" w:sz="0" w:space="0" w:color="auto"/>
            <w:insideH w:val="none" w:sz="0" w:space="0" w:color="auto"/>
            <w:insideV w:val="single" w:sz="18" w:space="0" w:color="FFFFFF" w:themeColor="background1"/>
          </w:tblBorders>
          <w:tblCellMar>
            <w:top w:w="58" w:type="dxa"/>
            <w:left w:w="115" w:type="dxa"/>
            <w:right w:w="115" w:type="dxa"/>
          </w:tblCellMar>
          <w:tblLook w:val="04A0"/>
        </w:tblPrEx>
        <w:trPr>
          <w:trHeight w:val="984"/>
        </w:trPr>
        <w:tc>
          <w:tcPr>
            <w:tcW w:w="2227" w:type="dxa"/>
            <w:shd w:val="clear" w:color="auto" w:fill="E7F8FF"/>
          </w:tcPr>
          <w:p w:rsidR="00A87D55" w:rsidP="009D7613" w14:paraId="2E00F20F" w14:textId="77777777">
            <w:pPr>
              <w:pStyle w:val="Heading2"/>
              <w:spacing w:after="240"/>
              <w:outlineLvl w:val="1"/>
            </w:pPr>
            <w:r w:rsidRPr="00660626">
              <w:rPr>
                <w:noProof/>
              </w:rPr>
              <w:drawing>
                <wp:anchor distT="0" distB="0" distL="114300" distR="114300" simplePos="0" relativeHeight="251664384" behindDoc="0" locked="0" layoutInCell="1" allowOverlap="1">
                  <wp:simplePos x="0" y="0"/>
                  <wp:positionH relativeFrom="column">
                    <wp:posOffset>34827</wp:posOffset>
                  </wp:positionH>
                  <wp:positionV relativeFrom="paragraph">
                    <wp:posOffset>118110</wp:posOffset>
                  </wp:positionV>
                  <wp:extent cx="1160145" cy="1477010"/>
                  <wp:effectExtent l="19050" t="19050" r="20955" b="279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49612"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16125" t="3358" r="24751" b="35551"/>
                          <a:stretch>
                            <a:fillRect/>
                          </a:stretch>
                        </pic:blipFill>
                        <pic:spPr bwMode="auto">
                          <a:xfrm>
                            <a:off x="0" y="0"/>
                            <a:ext cx="1160145" cy="1477010"/>
                          </a:xfrm>
                          <a:prstGeom prst="rect">
                            <a:avLst/>
                          </a:prstGeom>
                          <a:noFill/>
                          <a:ln>
                            <a:solidFill>
                              <a:schemeClr val="accent3"/>
                            </a:solid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James B. Robb </w:t>
            </w:r>
          </w:p>
          <w:p w:rsidR="00A87D55" w:rsidP="009D7613" w14:paraId="7552FB7E" w14:textId="77777777">
            <w:pPr>
              <w:pStyle w:val="Heading2"/>
              <w:spacing w:before="0" w:after="0"/>
              <w:outlineLvl w:val="1"/>
            </w:pPr>
            <w:r w:rsidRPr="00660626">
              <w:rPr>
                <w:b w:val="0"/>
              </w:rPr>
              <w:t>President and Chief Executive Officer</w:t>
            </w:r>
          </w:p>
        </w:tc>
        <w:tc>
          <w:tcPr>
            <w:tcW w:w="7496" w:type="dxa"/>
            <w:shd w:val="clear" w:color="auto" w:fill="E7F8FF"/>
          </w:tcPr>
          <w:p w:rsidR="00A87D55" w:rsidP="009D7613" w14:paraId="0B870D02" w14:textId="3B83863C">
            <w:r w:rsidRPr="00660626">
              <w:t>James B. Robb assumed the role of NERC’s president and chief executive officer in April 2018. Robb oversees NERC’s mission of assuring the reliability and security of the North American bulk power system. As president and CEO, Robb leads the Electric Reliability Organization (ERO) responsible for key programs affecting approximately 1,400 bulk power system users, owners and operators, including those programs focused on development of mandatory NERC Reliability Standards, the Compliance Monitoring and Enforcement Program, situational awareness, event and risk analysis,</w:t>
            </w:r>
            <w:r>
              <w:t xml:space="preserve"> </w:t>
            </w:r>
            <w:r w:rsidRPr="00660626">
              <w:t>reliability assessments and forecasting, and cyber and physical security. He is also responsible for the performance of the Electricity Information Sharing and Analysis Center (E-ISAC) and key government partnerships</w:t>
            </w:r>
            <w:r w:rsidR="008509E1">
              <w:t xml:space="preserve">. </w:t>
            </w:r>
          </w:p>
          <w:p w:rsidR="00A87D55" w:rsidP="009D7613" w14:paraId="570ABF7F" w14:textId="310DA413">
            <w:r>
              <w:t>As CEO, he is the chair of the ERO Enterprise Executive Committee, which oversees the operations of the six Regional Entities that support the reliability mission across North America. Robb joined the ERO Enterprise in 2013 when he was appointed the president and CEO of the Western Electricity Coordinating Council (WECC), the Regional Entity serving the Western Interconnection</w:t>
            </w:r>
            <w:r w:rsidR="008509E1">
              <w:t xml:space="preserve">. </w:t>
            </w:r>
          </w:p>
          <w:p w:rsidR="00A87D55" w:rsidP="009D7613" w14:paraId="526146B3" w14:textId="607FB835">
            <w:r>
              <w:t xml:space="preserve">Robb has more than 35 years of experience in the energy sector as an engineer, a consultant and a senior executive. Prior to becoming WECC’s CEO, he held three major leadership roles in the industry as Senior Vice President at Northeast Utilities (now Eversource Energy); Senior Vice President at Reliant Energy (now part of NRG Energy); and as a Partner at McKinsey &amp; Company. During his 15-year career at McKinsey, he worked closely with prominent electric power companies in California, western Canada, the Pacific Northwest and the Rocky Mountain states and served clients in Western Europe, South America and New Zealand. He has been a frequent speaker at industry events on the evolution of the electric power system, cybersecurity, integration of variable generation, and the increasing interdependency of electric and natural gas reliability. </w:t>
            </w:r>
          </w:p>
          <w:p w:rsidR="00A87D55" w:rsidP="009D7613" w14:paraId="78E21984" w14:textId="194895D6">
            <w:r>
              <w:t>Robb is a member of the Electricity Subsector Coordinating Council (ESCC) and serves on the United States Energy Association Board as well as a NERC trustee. In 2020 he was appointed Chair of the Group of Experts on Cleaner Energy Systems for the United Nations Economic Commission for Europe</w:t>
            </w:r>
            <w:r w:rsidR="008509E1">
              <w:t xml:space="preserve">. </w:t>
            </w:r>
            <w:r>
              <w:t xml:space="preserve">He has served on the boards of the Wadsworth Atheneum Museum of Art in Hartford, Connecticut, the Houston Symphony, the Woodland Park Zoo in Seattle, and as a policy advisor to the Bay Area Economic Forum in San Francisco. </w:t>
            </w:r>
          </w:p>
          <w:p w:rsidR="00A87D55" w:rsidP="009D7613" w14:paraId="14F9CAA7" w14:textId="03F1F654">
            <w:r>
              <w:t>Robb earned a bachelor’s degree in Chemical Engineering from Purdue University in Indiana and a master’s degree in Business Administration from the Wharton School of Business at the University of Pennsylvania in Philadelphia.</w:t>
            </w:r>
          </w:p>
        </w:tc>
      </w:tr>
    </w:tbl>
    <w:p w:rsidR="002E38CB" w:rsidP="00F9556F" w14:paraId="456F8F23" w14:textId="63D2FEE4"/>
    <w:tbl>
      <w:tblPr>
        <w:tblStyle w:val="TableGrid"/>
        <w:tblW w:w="9870" w:type="dxa"/>
        <w:tblInd w:w="-90" w:type="dxa"/>
        <w:tblBorders>
          <w:top w:val="none" w:sz="0" w:space="0" w:color="auto"/>
          <w:left w:val="none" w:sz="0" w:space="0" w:color="auto"/>
          <w:bottom w:val="none" w:sz="0" w:space="0" w:color="auto"/>
          <w:right w:val="none" w:sz="0" w:space="0" w:color="auto"/>
          <w:insideH w:val="none" w:sz="0" w:space="0" w:color="auto"/>
          <w:insideV w:val="single" w:sz="18" w:space="0" w:color="FFFFFF" w:themeColor="background1"/>
        </w:tblBorders>
        <w:tblCellMar>
          <w:top w:w="115" w:type="dxa"/>
          <w:left w:w="115" w:type="dxa"/>
          <w:right w:w="115" w:type="dxa"/>
        </w:tblCellMar>
        <w:tblLook w:val="04A0"/>
      </w:tblPr>
      <w:tblGrid>
        <w:gridCol w:w="2344"/>
        <w:gridCol w:w="7526"/>
      </w:tblGrid>
      <w:tr w14:paraId="29ADB9F7" w14:textId="77777777" w:rsidTr="009D7613">
        <w:tblPrEx>
          <w:tblW w:w="9870" w:type="dxa"/>
          <w:tblInd w:w="-90" w:type="dxa"/>
          <w:tblBorders>
            <w:top w:val="none" w:sz="0" w:space="0" w:color="auto"/>
            <w:left w:val="none" w:sz="0" w:space="0" w:color="auto"/>
            <w:bottom w:val="none" w:sz="0" w:space="0" w:color="auto"/>
            <w:right w:val="none" w:sz="0" w:space="0" w:color="auto"/>
            <w:insideH w:val="none" w:sz="0" w:space="0" w:color="auto"/>
            <w:insideV w:val="single" w:sz="18" w:space="0" w:color="FFFFFF" w:themeColor="background1"/>
          </w:tblBorders>
          <w:tblCellMar>
            <w:top w:w="115" w:type="dxa"/>
            <w:left w:w="115" w:type="dxa"/>
            <w:right w:w="115" w:type="dxa"/>
          </w:tblCellMar>
          <w:tblLook w:val="04A0"/>
        </w:tblPrEx>
        <w:trPr>
          <w:trHeight w:val="8958"/>
        </w:trPr>
        <w:tc>
          <w:tcPr>
            <w:tcW w:w="2344" w:type="dxa"/>
            <w:shd w:val="clear" w:color="auto" w:fill="E7F8FF"/>
          </w:tcPr>
          <w:p w:rsidR="00A87D55" w:rsidRPr="00003D32" w:rsidP="009D7613" w14:paraId="3A0DB1D4" w14:textId="77777777">
            <w:pPr>
              <w:pStyle w:val="Title"/>
              <w:jc w:val="left"/>
              <w:rPr>
                <w:i/>
                <w:iCs/>
                <w:color w:val="00B0F0"/>
                <w:spacing w:val="0"/>
                <w:kern w:val="0"/>
                <w:sz w:val="28"/>
                <w:szCs w:val="28"/>
              </w:rPr>
            </w:pPr>
            <w:r w:rsidRPr="00003D32">
              <w:rPr>
                <w:i/>
                <w:iCs/>
                <w:noProof/>
                <w:color w:val="00B0F0"/>
                <w:spacing w:val="0"/>
                <w:kern w:val="0"/>
                <w:sz w:val="28"/>
                <w:szCs w:val="28"/>
              </w:rPr>
              <w:drawing>
                <wp:anchor distT="0" distB="0" distL="114300" distR="114300" simplePos="0" relativeHeight="251665408" behindDoc="0" locked="0" layoutInCell="1" allowOverlap="1">
                  <wp:simplePos x="0" y="0"/>
                  <wp:positionH relativeFrom="column">
                    <wp:posOffset>32483</wp:posOffset>
                  </wp:positionH>
                  <wp:positionV relativeFrom="paragraph">
                    <wp:posOffset>116840</wp:posOffset>
                  </wp:positionV>
                  <wp:extent cx="1143000" cy="1524720"/>
                  <wp:effectExtent l="19050" t="19050" r="19050" b="1841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81595" name="Bryson Mike_022-headshot-bio (003).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l="9842" t="6991" r="10914" b="13764"/>
                          <a:stretch>
                            <a:fillRect/>
                          </a:stretch>
                        </pic:blipFill>
                        <pic:spPr bwMode="auto">
                          <a:xfrm>
                            <a:off x="0" y="0"/>
                            <a:ext cx="1143000" cy="1524720"/>
                          </a:xfrm>
                          <a:prstGeom prst="rect">
                            <a:avLst/>
                          </a:prstGeom>
                          <a:ln w="9525">
                            <a:solidFill>
                              <a:srgbClr val="00B0F0"/>
                            </a:solidFill>
                            <a:round/>
                            <a:headEnd/>
                            <a:tailEnd/>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3D32">
              <w:rPr>
                <w:i/>
                <w:iCs/>
                <w:color w:val="00B0F0"/>
                <w:spacing w:val="0"/>
                <w:kern w:val="0"/>
                <w:sz w:val="28"/>
                <w:szCs w:val="28"/>
              </w:rPr>
              <w:t>Michael E. Bryson</w:t>
            </w:r>
          </w:p>
          <w:p w:rsidR="00A87D55" w:rsidRPr="00003D32" w:rsidP="009D7613" w14:paraId="3A6BEC15" w14:textId="77777777">
            <w:pPr>
              <w:pStyle w:val="Heading2"/>
              <w:spacing w:before="0" w:after="0"/>
              <w:outlineLvl w:val="1"/>
              <w:rPr>
                <w:b w:val="0"/>
              </w:rPr>
            </w:pPr>
            <w:r w:rsidRPr="00003D32">
              <w:rPr>
                <w:b w:val="0"/>
              </w:rPr>
              <w:t>Senior Vice President – Operations</w:t>
            </w:r>
          </w:p>
          <w:p w:rsidR="00A87D55" w:rsidP="009D7613" w14:paraId="594CA1D7" w14:textId="77777777">
            <w:pPr>
              <w:pStyle w:val="Heading2"/>
              <w:outlineLvl w:val="1"/>
            </w:pPr>
          </w:p>
        </w:tc>
        <w:tc>
          <w:tcPr>
            <w:tcW w:w="7526" w:type="dxa"/>
            <w:shd w:val="clear" w:color="auto" w:fill="E7F8FF"/>
          </w:tcPr>
          <w:p w:rsidR="00A87D55" w:rsidP="009D7613" w14:paraId="6BE9A87E" w14:textId="1ECAA305">
            <w:r w:rsidRPr="00C73172">
              <w:t>Michael E. Bryson, Senior Vice President – Operations, is responsible for PJM’s Operations Division, overseeing 24/7 transmission operations for real-time systems. This includes scheduling, transmission dispatch, generation dispatch, reliability coordination, training and all engineering analysis required to run the system and support the critical energy management systems. </w:t>
            </w:r>
          </w:p>
          <w:p w:rsidR="00A87D55" w:rsidP="009D7613" w14:paraId="7DF1DF7B" w14:textId="58A44F51">
            <w:r w:rsidRPr="00C73172">
              <w:t xml:space="preserve">Bryson also held the positions of executive director of </w:t>
            </w:r>
            <w:r w:rsidR="00B12F68">
              <w:t>s</w:t>
            </w:r>
            <w:r w:rsidRPr="00C73172">
              <w:t xml:space="preserve">ystem </w:t>
            </w:r>
            <w:r w:rsidR="00B12F68">
              <w:t>o</w:t>
            </w:r>
            <w:r w:rsidRPr="00C73172">
              <w:t xml:space="preserve">perations, general manager of </w:t>
            </w:r>
            <w:r w:rsidR="00B12F68">
              <w:t>d</w:t>
            </w:r>
            <w:r w:rsidRPr="00C73172">
              <w:t xml:space="preserve">ispatch </w:t>
            </w:r>
            <w:r w:rsidR="00B12F68">
              <w:t>o</w:t>
            </w:r>
            <w:r w:rsidRPr="00C73172">
              <w:t>perations and manager of the Transmission Department for the System Operations Division. He was responsible for PJM’s transmission operations support for real-time operations to include transaction scheduling, transmission analysis</w:t>
            </w:r>
            <w:r w:rsidR="00731B4F">
              <w:t>,</w:t>
            </w:r>
            <w:r w:rsidRPr="00C73172">
              <w:t xml:space="preserve"> and regional and seasonal studies</w:t>
            </w:r>
            <w:r w:rsidR="008509E1">
              <w:t xml:space="preserve">. </w:t>
            </w:r>
          </w:p>
          <w:p w:rsidR="00A87D55" w:rsidRPr="00C73172" w:rsidP="009D7613" w14:paraId="43177FAC" w14:textId="43580622">
            <w:r>
              <w:br w:type="column"/>
            </w:r>
            <w:r w:rsidRPr="00C73172">
              <w:t xml:space="preserve">Bryson is a member of the Consortium for Electric Reliability Technology Solutions and the ISO/RTO Operating Committee. He serves on the board of PJM Technologies, Inc. and PJM Repository Information Services, Inc. He is currently </w:t>
            </w:r>
            <w:r>
              <w:t xml:space="preserve">the </w:t>
            </w:r>
            <w:r w:rsidR="00B12F68">
              <w:t>b</w:t>
            </w:r>
            <w:r>
              <w:t xml:space="preserve">oard </w:t>
            </w:r>
            <w:r w:rsidR="00B12F68">
              <w:t>c</w:t>
            </w:r>
            <w:r>
              <w:t xml:space="preserve">hair </w:t>
            </w:r>
            <w:r w:rsidRPr="00C73172">
              <w:t xml:space="preserve">of </w:t>
            </w:r>
            <w:r w:rsidR="00E81B01">
              <w:t>The House,</w:t>
            </w:r>
            <w:r>
              <w:t xml:space="preserve"> a </w:t>
            </w:r>
            <w:r w:rsidRPr="00C73172">
              <w:t>Women’s Outreach in Phoenixville, P</w:t>
            </w:r>
            <w:r w:rsidR="00B26ADF">
              <w:t>ennsylvania</w:t>
            </w:r>
            <w:r w:rsidR="00D769DD">
              <w:t>.</w:t>
            </w:r>
            <w:r w:rsidRPr="00C73172">
              <w:t xml:space="preserve"> Bryson was formerly on the board of directors of the ReliabilityFirst Corporation and was the former chair of the board of Pope John Paul II High School.</w:t>
            </w:r>
          </w:p>
          <w:p w:rsidR="00A87D55" w:rsidRPr="00C73172" w:rsidP="009D7613" w14:paraId="7789CB6A" w14:textId="7FBED563">
            <w:r w:rsidRPr="00C73172">
              <w:t>Prior to joining PJM, Bryson held various senior-level positions with DIMAC DIRECT, Inc. in St. Louis, including vice president of information services, manager of operations and technical services</w:t>
            </w:r>
            <w:r w:rsidR="00B26ADF">
              <w:t>,</w:t>
            </w:r>
            <w:r w:rsidRPr="00C73172">
              <w:t xml:space="preserve"> and manager of applications development. </w:t>
            </w:r>
          </w:p>
          <w:p w:rsidR="00A87D55" w:rsidP="009D7613" w14:paraId="7C4D8ADB" w14:textId="570D30DF">
            <w:r w:rsidRPr="00C73172">
              <w:t>Bryson has nearly ten years of military experience as a pilot. He was awarded the Bronze Star for Combat Service in Desert Storm.</w:t>
            </w:r>
          </w:p>
          <w:p w:rsidR="00A87D55" w:rsidRPr="00C73172" w:rsidP="009D7613" w14:paraId="45D4DC62" w14:textId="77777777">
            <w:r w:rsidRPr="00C73172">
              <w:t xml:space="preserve">His responsibilities in the United States Army included operations planning and support, supervision and training of pilots and mechanics, and tactical computer systems training and maintenance. </w:t>
            </w:r>
          </w:p>
          <w:p w:rsidR="00A87D55" w:rsidP="009D7613" w14:paraId="121779F0" w14:textId="22F015DA">
            <w:r w:rsidRPr="00C73172">
              <w:t>Bryson earned a Bachelor of Science in general engineering from the United States Military Academy at West Point, N</w:t>
            </w:r>
            <w:r w:rsidR="00B26ADF">
              <w:t>ew York</w:t>
            </w:r>
            <w:r w:rsidRPr="00C73172">
              <w:t>, focusing on computer science and electrical engineering, and has a Master of Business Administration from Saint Joseph’s University in Philadelphia. Bryson also earned a graduate certificate in power engineering from the Worcester Polytechnic Institute.</w:t>
            </w:r>
          </w:p>
        </w:tc>
      </w:tr>
    </w:tbl>
    <w:p w:rsidR="002E38CB" w:rsidP="00F9556F" w14:paraId="30894E1D" w14:textId="1E868DD9"/>
    <w:p w:rsidR="002E38CB" w:rsidP="00F9556F" w14:paraId="2AFC731C" w14:textId="31D8B245"/>
    <w:p w:rsidR="002E38CB" w:rsidP="00F9556F" w14:paraId="613BC446" w14:textId="4CE5AF02"/>
    <w:tbl>
      <w:tblPr>
        <w:tblStyle w:val="TableGrid"/>
        <w:tblW w:w="10010" w:type="dxa"/>
        <w:tblInd w:w="-90" w:type="dxa"/>
        <w:tblBorders>
          <w:top w:val="none" w:sz="0" w:space="0" w:color="auto"/>
          <w:left w:val="none" w:sz="0" w:space="0" w:color="auto"/>
          <w:bottom w:val="none" w:sz="0" w:space="0" w:color="auto"/>
          <w:right w:val="none" w:sz="0" w:space="0" w:color="auto"/>
          <w:insideH w:val="none" w:sz="0" w:space="0" w:color="auto"/>
          <w:insideV w:val="single" w:sz="18" w:space="0" w:color="FFFFFF" w:themeColor="background1"/>
        </w:tblBorders>
        <w:shd w:val="clear" w:color="auto" w:fill="E7F8FF"/>
        <w:tblCellMar>
          <w:top w:w="58" w:type="dxa"/>
          <w:left w:w="115" w:type="dxa"/>
          <w:right w:w="115" w:type="dxa"/>
        </w:tblCellMar>
        <w:tblLook w:val="04A0"/>
      </w:tblPr>
      <w:tblGrid>
        <w:gridCol w:w="2391"/>
        <w:gridCol w:w="7619"/>
      </w:tblGrid>
      <w:tr w14:paraId="484F71DA" w14:textId="77777777" w:rsidTr="009D7613">
        <w:tblPrEx>
          <w:tblW w:w="10010" w:type="dxa"/>
          <w:tblInd w:w="-90" w:type="dxa"/>
          <w:tblBorders>
            <w:top w:val="none" w:sz="0" w:space="0" w:color="auto"/>
            <w:left w:val="none" w:sz="0" w:space="0" w:color="auto"/>
            <w:bottom w:val="none" w:sz="0" w:space="0" w:color="auto"/>
            <w:right w:val="none" w:sz="0" w:space="0" w:color="auto"/>
            <w:insideH w:val="none" w:sz="0" w:space="0" w:color="auto"/>
            <w:insideV w:val="single" w:sz="18" w:space="0" w:color="FFFFFF" w:themeColor="background1"/>
          </w:tblBorders>
          <w:shd w:val="clear" w:color="auto" w:fill="E7F8FF"/>
          <w:tblCellMar>
            <w:top w:w="58" w:type="dxa"/>
            <w:left w:w="115" w:type="dxa"/>
            <w:right w:w="115" w:type="dxa"/>
          </w:tblCellMar>
          <w:tblLook w:val="04A0"/>
        </w:tblPrEx>
        <w:trPr>
          <w:trHeight w:val="10821"/>
        </w:trPr>
        <w:tc>
          <w:tcPr>
            <w:tcW w:w="2391" w:type="dxa"/>
            <w:shd w:val="clear" w:color="auto" w:fill="E7F8FF"/>
          </w:tcPr>
          <w:p w:rsidR="00CC509E" w:rsidP="009D7613" w14:paraId="4ED1E51F" w14:textId="77777777">
            <w:pPr>
              <w:pStyle w:val="Heading2"/>
              <w:spacing w:after="120"/>
              <w:outlineLvl w:val="1"/>
            </w:pPr>
            <w:r>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81280</wp:posOffset>
                  </wp:positionV>
                  <wp:extent cx="1239520" cy="1555750"/>
                  <wp:effectExtent l="19050" t="19050" r="17780" b="2540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766561309" name="Picture 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l="13706" t="5495" r="14732" b="25056"/>
                          <a:stretch>
                            <a:fillRect/>
                          </a:stretch>
                        </pic:blipFill>
                        <pic:spPr bwMode="auto">
                          <a:xfrm>
                            <a:off x="0" y="0"/>
                            <a:ext cx="1239520" cy="1555750"/>
                          </a:xfrm>
                          <a:prstGeom prst="rect">
                            <a:avLst/>
                          </a:prstGeom>
                          <a:noFill/>
                          <a:ln>
                            <a:solidFill>
                              <a:schemeClr val="accent3"/>
                            </a:solid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The Honorable Patricia Hoffman</w:t>
            </w:r>
          </w:p>
          <w:p w:rsidR="00CC509E" w:rsidRPr="002322E3" w:rsidP="009D7613" w14:paraId="654FBF62" w14:textId="6F831B51">
            <w:pPr>
              <w:spacing w:after="75"/>
              <w:rPr>
                <w:rFonts w:eastAsia="Times New Roman"/>
                <w:bCs/>
                <w:i/>
                <w:iCs/>
                <w:color w:val="00B0F0"/>
                <w:sz w:val="28"/>
                <w:szCs w:val="28"/>
              </w:rPr>
            </w:pPr>
            <w:r w:rsidRPr="00003D32">
              <w:rPr>
                <w:rFonts w:eastAsia="Times New Roman"/>
                <w:bCs/>
                <w:i/>
                <w:iCs/>
                <w:color w:val="00B0F0"/>
                <w:sz w:val="28"/>
                <w:szCs w:val="28"/>
              </w:rPr>
              <w:t>Acting Assistant Secretary, Principal Deputy Assistant Secretary</w:t>
            </w:r>
            <w:r w:rsidR="0028647B">
              <w:rPr>
                <w:rFonts w:eastAsia="Times New Roman"/>
                <w:bCs/>
                <w:i/>
                <w:iCs/>
                <w:color w:val="00B0F0"/>
                <w:sz w:val="28"/>
                <w:szCs w:val="28"/>
              </w:rPr>
              <w:t xml:space="preserve"> </w:t>
            </w:r>
            <w:r w:rsidR="0028647B">
              <w:rPr>
                <w:rFonts w:ascii="Arial" w:eastAsia="Times New Roman" w:hAnsi="Arial" w:cs="Arial"/>
                <w:bCs/>
                <w:i/>
                <w:iCs/>
                <w:color w:val="00B0F0"/>
                <w:sz w:val="28"/>
                <w:szCs w:val="28"/>
              </w:rPr>
              <w:t>–</w:t>
            </w:r>
            <w:r w:rsidRPr="00003D32">
              <w:rPr>
                <w:rFonts w:eastAsia="Times New Roman"/>
                <w:bCs/>
                <w:i/>
                <w:iCs/>
                <w:color w:val="00B0F0"/>
                <w:sz w:val="28"/>
                <w:szCs w:val="28"/>
              </w:rPr>
              <w:t xml:space="preserve"> Office </w:t>
            </w:r>
            <w:r>
              <w:rPr>
                <w:rFonts w:eastAsia="Times New Roman"/>
                <w:bCs/>
                <w:i/>
                <w:iCs/>
                <w:color w:val="00B0F0"/>
                <w:sz w:val="28"/>
                <w:szCs w:val="28"/>
              </w:rPr>
              <w:br/>
            </w:r>
            <w:r w:rsidRPr="00003D32">
              <w:rPr>
                <w:rFonts w:eastAsia="Times New Roman"/>
                <w:bCs/>
                <w:i/>
                <w:iCs/>
                <w:color w:val="00B0F0"/>
                <w:sz w:val="28"/>
                <w:szCs w:val="28"/>
              </w:rPr>
              <w:t>of Electricity</w:t>
            </w:r>
          </w:p>
          <w:p w:rsidR="00CC509E" w:rsidP="009D7613" w14:paraId="3F6E0CBC" w14:textId="77777777"/>
        </w:tc>
        <w:tc>
          <w:tcPr>
            <w:tcW w:w="7619" w:type="dxa"/>
            <w:shd w:val="clear" w:color="auto" w:fill="E7F8FF"/>
          </w:tcPr>
          <w:p w:rsidR="00CC509E" w:rsidRPr="00003D32" w:rsidP="009D7613" w14:paraId="7BEB64FB" w14:textId="7483A24B">
            <w:r w:rsidRPr="00003D32">
              <w:t>Serving as the Principal Deputy Assistant Secretary for the Office of Electricity (OE) at the U.S. Department of Energy (DOE), Ms. Patricia A. Hoffman also served as Acting Under Secretary for Science and Energy from January 2017 until November 2017 when the U.S. Senate confirmed Mark Menezes as Under Secretary of Energy. Ms. Hoffman served as Acting Assistant Secretary for OE from January 2017 until October 2017 when the OE Assistant Secretary was confirmed by the U.S. Senate.</w:t>
            </w:r>
          </w:p>
          <w:p w:rsidR="00CC509E" w:rsidRPr="00003D32" w:rsidP="009D7613" w14:paraId="108DE57A" w14:textId="0DC43090">
            <w:r w:rsidRPr="00003D32">
              <w:t>Ms. Hoffman was named Assistant Secretary for OE from June 2010 to January 2017, after serving as Principal Deputy Assistant Secretary since November 2007. The focus of her responsibility was to provide leadership on a national level to modernize the electric grid, enhance the security and reliability of the energy infrastructure and facilitate recovery from disruptions to the energy supply both domestically and internationally. This is critical to meeting the Nation’s growing demand for reliable electricity by overcoming the challenges of our Nation’s aging electricity transmission and distribution system and addressing the vulnerabilities in our energy supply chain.</w:t>
            </w:r>
          </w:p>
          <w:p w:rsidR="00CC509E" w:rsidRPr="00003D32" w:rsidP="009D7613" w14:paraId="2EA92933" w14:textId="13BBEB70">
            <w:r w:rsidRPr="00003D32">
              <w:t>Prior to her current position, Ms. Hoffman served in a dual capacity as Deputy Assistant Secretary (DAS) for Research and Development (R&amp;D) and Chief Operating Officer (COO) within OE. During her tenure as the DAS for R&amp;D, she developed the long-term research strategy and improved the management portfolio of research programs for modernizing and improving the resiliency of the electric grid. This included developing and implementing sensors and operational tools for wide-area monitoring, energy storage research and demonstration</w:t>
            </w:r>
            <w:r w:rsidR="008509E1">
              <w:t>,</w:t>
            </w:r>
            <w:r w:rsidRPr="00003D32">
              <w:t xml:space="preserve"> and the development of advanced conductors to increase the capacity and flexibility of the grid. She also initiated a new research effort focused on integrating and distributing renewable energy through the electric grid, such as promoting plug-in hybrid electric vehicles and implementing smart grid technologies to maintain system reliability. As COO, she managed the OE business operations, including human resources, budget development, financial execution and performance management.</w:t>
            </w:r>
          </w:p>
          <w:p w:rsidR="00CC509E" w:rsidRPr="00003D32" w:rsidP="009D7613" w14:paraId="2A9E65FE" w14:textId="3053D4E2">
            <w:pPr>
              <w:spacing w:after="160" w:line="259" w:lineRule="auto"/>
            </w:pPr>
            <w:r w:rsidRPr="00003D32">
              <w:t>Prior to joining OE, she was the Program Manager for the Federal Energy Management Program within the Office of Energy Efficiency and Renewable Energy at DOE. This program guides the Federal government to “lead by example” promoting energy efficiency, renewable energy and smart energy management. Complementing her building energy efficiency experience, she also was the Program Manager for the Distributed Energy Program, which conducted research on advanced natural gas power generation and combined heat and power systems. Her accomplishments included the successful completion of the Advanced Turbine System program resulting in a high-efficiency industrial gas turbine power generation product.</w:t>
            </w:r>
          </w:p>
          <w:p w:rsidR="00CC509E" w:rsidP="009D7613" w14:paraId="19BB7A4C" w14:textId="77777777">
            <w:pPr>
              <w:spacing w:after="160" w:line="259" w:lineRule="auto"/>
            </w:pPr>
            <w:r w:rsidRPr="00003D32">
              <w:t xml:space="preserve">Ms. Hoffman holds a Bachelor of Science and a Master of Science in Ceramic Science and Engineering from Pennsylvania State University. </w:t>
            </w:r>
          </w:p>
        </w:tc>
      </w:tr>
    </w:tbl>
    <w:p w:rsidR="00CC509E" w:rsidP="00F9556F" w14:paraId="4EC30254" w14:textId="2A3D2868"/>
    <w:p w:rsidR="00CC509E" w:rsidP="00F9556F" w14:paraId="0743FA19" w14:textId="55DE3C2A"/>
    <w:p w:rsidR="00CC509E" w:rsidP="00F9556F" w14:paraId="49B7021B" w14:textId="0CD8A066"/>
    <w:p w:rsidR="00CC509E" w:rsidP="00F9556F" w14:paraId="6D8E33AE" w14:textId="0361971F"/>
    <w:tbl>
      <w:tblPr>
        <w:tblStyle w:val="TableGrid"/>
        <w:tblW w:w="9939" w:type="dxa"/>
        <w:tblInd w:w="-90" w:type="dxa"/>
        <w:tblBorders>
          <w:top w:val="none" w:sz="0" w:space="0" w:color="auto"/>
          <w:left w:val="none" w:sz="0" w:space="0" w:color="auto"/>
          <w:bottom w:val="none" w:sz="0" w:space="0" w:color="auto"/>
          <w:right w:val="none" w:sz="0" w:space="0" w:color="auto"/>
          <w:insideH w:val="none" w:sz="0" w:space="0" w:color="auto"/>
          <w:insideV w:val="single" w:sz="18" w:space="0" w:color="FFFFFF" w:themeColor="background1"/>
        </w:tblBorders>
        <w:tblCellMar>
          <w:top w:w="130" w:type="dxa"/>
          <w:left w:w="115" w:type="dxa"/>
          <w:right w:w="115" w:type="dxa"/>
        </w:tblCellMar>
        <w:tblLook w:val="04A0"/>
      </w:tblPr>
      <w:tblGrid>
        <w:gridCol w:w="2160"/>
        <w:gridCol w:w="7779"/>
      </w:tblGrid>
      <w:tr w14:paraId="684C19FF" w14:textId="77777777" w:rsidTr="00CC509E">
        <w:tblPrEx>
          <w:tblW w:w="9939" w:type="dxa"/>
          <w:tblInd w:w="-90" w:type="dxa"/>
          <w:tblBorders>
            <w:top w:val="none" w:sz="0" w:space="0" w:color="auto"/>
            <w:left w:val="none" w:sz="0" w:space="0" w:color="auto"/>
            <w:bottom w:val="none" w:sz="0" w:space="0" w:color="auto"/>
            <w:right w:val="none" w:sz="0" w:space="0" w:color="auto"/>
            <w:insideH w:val="none" w:sz="0" w:space="0" w:color="auto"/>
            <w:insideV w:val="single" w:sz="18" w:space="0" w:color="FFFFFF" w:themeColor="background1"/>
          </w:tblBorders>
          <w:tblCellMar>
            <w:top w:w="130" w:type="dxa"/>
            <w:left w:w="115" w:type="dxa"/>
            <w:right w:w="115" w:type="dxa"/>
          </w:tblCellMar>
          <w:tblLook w:val="04A0"/>
        </w:tblPrEx>
        <w:trPr>
          <w:trHeight w:val="3794"/>
        </w:trPr>
        <w:tc>
          <w:tcPr>
            <w:tcW w:w="2160" w:type="dxa"/>
            <w:shd w:val="clear" w:color="auto" w:fill="E7F8FF"/>
          </w:tcPr>
          <w:p w:rsidR="00CC509E" w:rsidP="009D7613" w14:paraId="3AE9FABC" w14:textId="77777777">
            <w:pPr>
              <w:pStyle w:val="Heading2"/>
              <w:spacing w:before="120" w:after="120"/>
              <w:outlineLvl w:val="1"/>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23495</wp:posOffset>
                  </wp:positionH>
                  <wp:positionV relativeFrom="paragraph">
                    <wp:posOffset>29943</wp:posOffset>
                  </wp:positionV>
                  <wp:extent cx="1149350" cy="1546860"/>
                  <wp:effectExtent l="19050" t="19050" r="12700" b="15240"/>
                  <wp:wrapSquare wrapText="bothSides"/>
                  <wp:docPr id="17" name="Picture 17" descr="cid:61F847DB-CC11-4E1C-A1D4-EE83EE32B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24792" name="61F847DB-CC11-4E1C-A1D4-EE83EE32BA81" descr="cid:61F847DB-CC11-4E1C-A1D4-EE83EE32BA81"/>
                          <pic:cNvPicPr>
                            <a:picLocks noChangeAspect="1" noChangeArrowheads="1"/>
                          </pic:cNvPicPr>
                        </pic:nvPicPr>
                        <pic:blipFill>
                          <a:blip xmlns:r="http://schemas.openxmlformats.org/officeDocument/2006/relationships" r:embed="rId7" r:link="rId8" cstate="print">
                            <a:extLst>
                              <a:ext xmlns:a="http://schemas.openxmlformats.org/drawingml/2006/main" uri="{28A0092B-C50C-407E-A947-70E740481C1C}">
                                <a14:useLocalDpi xmlns:a14="http://schemas.microsoft.com/office/drawing/2010/main" val="0"/>
                              </a:ext>
                            </a:extLst>
                          </a:blip>
                          <a:srcRect l="21513" t="-1" r="26396" b="25872"/>
                          <a:stretch>
                            <a:fillRect/>
                          </a:stretch>
                        </pic:blipFill>
                        <pic:spPr bwMode="auto">
                          <a:xfrm>
                            <a:off x="0" y="0"/>
                            <a:ext cx="1149350" cy="1546860"/>
                          </a:xfrm>
                          <a:prstGeom prst="rect">
                            <a:avLst/>
                          </a:prstGeom>
                          <a:noFill/>
                          <a:ln w="9525">
                            <a:solidFill>
                              <a:srgbClr val="00B0F0"/>
                            </a:solidFill>
                            <a:round/>
                            <a:headEnd/>
                            <a:tailEnd/>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Antoine Lucas</w:t>
            </w:r>
          </w:p>
          <w:p w:rsidR="00CC509E" w:rsidRPr="002322E3" w:rsidP="009D7613" w14:paraId="3D44C58E" w14:textId="2B43E8A7">
            <w:pPr>
              <w:spacing w:after="75"/>
              <w:rPr>
                <w:rFonts w:eastAsia="Times New Roman"/>
                <w:bCs/>
                <w:i/>
                <w:iCs/>
                <w:color w:val="00B0F0"/>
                <w:sz w:val="28"/>
                <w:szCs w:val="28"/>
              </w:rPr>
            </w:pPr>
            <w:r w:rsidRPr="002322E3">
              <w:rPr>
                <w:rFonts w:eastAsia="Times New Roman"/>
                <w:bCs/>
                <w:i/>
                <w:iCs/>
                <w:color w:val="00B0F0"/>
                <w:sz w:val="28"/>
                <w:szCs w:val="28"/>
              </w:rPr>
              <w:t>Vice President</w:t>
            </w:r>
            <w:r w:rsidR="0028647B">
              <w:rPr>
                <w:rFonts w:eastAsia="Times New Roman"/>
                <w:bCs/>
                <w:i/>
                <w:iCs/>
                <w:color w:val="00B0F0"/>
                <w:sz w:val="28"/>
                <w:szCs w:val="28"/>
              </w:rPr>
              <w:t xml:space="preserve"> </w:t>
            </w:r>
            <w:r w:rsidR="0028647B">
              <w:rPr>
                <w:rFonts w:ascii="Arial" w:eastAsia="Times New Roman" w:hAnsi="Arial" w:cs="Arial"/>
                <w:bCs/>
                <w:i/>
                <w:iCs/>
                <w:color w:val="00B0F0"/>
                <w:sz w:val="28"/>
                <w:szCs w:val="28"/>
              </w:rPr>
              <w:t>–</w:t>
            </w:r>
            <w:r w:rsidRPr="002322E3">
              <w:rPr>
                <w:rFonts w:eastAsia="Times New Roman"/>
                <w:bCs/>
                <w:i/>
                <w:iCs/>
                <w:color w:val="00B0F0"/>
                <w:sz w:val="28"/>
                <w:szCs w:val="28"/>
              </w:rPr>
              <w:t xml:space="preserve"> Engineering</w:t>
            </w:r>
          </w:p>
        </w:tc>
        <w:tc>
          <w:tcPr>
            <w:tcW w:w="7779" w:type="dxa"/>
            <w:shd w:val="clear" w:color="auto" w:fill="E7F8FF"/>
          </w:tcPr>
          <w:p w:rsidR="00CC509E" w:rsidRPr="002322E3" w:rsidP="009D7613" w14:paraId="125BA876" w14:textId="1B1AA1CB">
            <w:pPr>
              <w:ind w:right="734"/>
            </w:pPr>
            <w:r w:rsidRPr="002322E3">
              <w:t>As vice president of engineering, Lucas is responsible for the ongoing development of SPP’s transmission expansion plan, administration of generator interconnection and transmission service processes, assessment of resource adequacy, and performance of compliance activities related to the NERC planning coordinator function.</w:t>
            </w:r>
          </w:p>
          <w:p w:rsidR="00CC509E" w:rsidP="009D7613" w14:paraId="615A8278" w14:textId="77777777">
            <w:pPr>
              <w:ind w:right="734"/>
            </w:pPr>
            <w:r w:rsidRPr="002322E3">
              <w:t>Lucas formerly was SPP’s director of system planning. Prior to joining SPP, Lucas worked in real-time system operations for Entergy Services, Inc. in roles as an engineer and system operator. Lucas earned a master’s degree in business administration from the University of Arkansas-Little Rock and a bachelor’s degree in industrial engineering from Louisiana Tech University.</w:t>
            </w:r>
          </w:p>
        </w:tc>
      </w:tr>
    </w:tbl>
    <w:p w:rsidR="00CC509E" w:rsidP="00F9556F" w14:paraId="51EF2BF2" w14:textId="511FE930"/>
    <w:p w:rsidR="00CC509E" w:rsidP="00F9556F" w14:paraId="5041AB41" w14:textId="0253CE22"/>
    <w:p w:rsidR="00CC509E" w:rsidP="00F9556F" w14:paraId="6417A8F2" w14:textId="77777777"/>
    <w:tbl>
      <w:tblPr>
        <w:tblStyle w:val="TableGrid"/>
        <w:tblW w:w="9939" w:type="dxa"/>
        <w:tblInd w:w="-90" w:type="dxa"/>
        <w:tblBorders>
          <w:top w:val="none" w:sz="0" w:space="0" w:color="auto"/>
          <w:left w:val="none" w:sz="0" w:space="0" w:color="auto"/>
          <w:bottom w:val="none" w:sz="0" w:space="0" w:color="auto"/>
          <w:right w:val="none" w:sz="0" w:space="0" w:color="auto"/>
          <w:insideH w:val="none" w:sz="0" w:space="0" w:color="auto"/>
          <w:insideV w:val="single" w:sz="18" w:space="0" w:color="FFFFFF" w:themeColor="background1"/>
        </w:tblBorders>
        <w:tblCellMar>
          <w:top w:w="101" w:type="dxa"/>
          <w:left w:w="115" w:type="dxa"/>
          <w:right w:w="115" w:type="dxa"/>
        </w:tblCellMar>
        <w:tblLook w:val="04A0"/>
      </w:tblPr>
      <w:tblGrid>
        <w:gridCol w:w="2340"/>
        <w:gridCol w:w="7599"/>
      </w:tblGrid>
      <w:tr w14:paraId="67F74EF8" w14:textId="77777777" w:rsidTr="002E38CB">
        <w:tblPrEx>
          <w:tblW w:w="9939" w:type="dxa"/>
          <w:tblInd w:w="-90" w:type="dxa"/>
          <w:tblBorders>
            <w:top w:val="none" w:sz="0" w:space="0" w:color="auto"/>
            <w:left w:val="none" w:sz="0" w:space="0" w:color="auto"/>
            <w:bottom w:val="none" w:sz="0" w:space="0" w:color="auto"/>
            <w:right w:val="none" w:sz="0" w:space="0" w:color="auto"/>
            <w:insideH w:val="none" w:sz="0" w:space="0" w:color="auto"/>
            <w:insideV w:val="single" w:sz="18" w:space="0" w:color="FFFFFF" w:themeColor="background1"/>
          </w:tblBorders>
          <w:tblCellMar>
            <w:top w:w="101" w:type="dxa"/>
            <w:left w:w="115" w:type="dxa"/>
            <w:right w:w="115" w:type="dxa"/>
          </w:tblCellMar>
          <w:tblLook w:val="04A0"/>
        </w:tblPrEx>
        <w:trPr>
          <w:trHeight w:val="4273"/>
        </w:trPr>
        <w:tc>
          <w:tcPr>
            <w:tcW w:w="2340" w:type="dxa"/>
            <w:shd w:val="clear" w:color="auto" w:fill="E7F8FF"/>
          </w:tcPr>
          <w:p w:rsidR="00CC509E" w:rsidP="009D7613" w14:paraId="40C8DF73" w14:textId="49A96627">
            <w:pPr>
              <w:pStyle w:val="Heading2"/>
              <w:outlineLvl w:val="1"/>
              <w:rPr>
                <w:i w:val="0"/>
                <w:noProof/>
                <w:sz w:val="32"/>
              </w:rPr>
            </w:pPr>
            <w:r>
              <w:rPr>
                <w:i w:val="0"/>
                <w:noProof/>
                <w:sz w:val="32"/>
              </w:rPr>
              <w:drawing>
                <wp:anchor distT="0" distB="0" distL="114300" distR="114300" simplePos="0" relativeHeight="251663360" behindDoc="0" locked="0" layoutInCell="1" allowOverlap="1">
                  <wp:simplePos x="0" y="0"/>
                  <wp:positionH relativeFrom="column">
                    <wp:posOffset>20193</wp:posOffset>
                  </wp:positionH>
                  <wp:positionV relativeFrom="paragraph">
                    <wp:posOffset>46482</wp:posOffset>
                  </wp:positionV>
                  <wp:extent cx="1167130" cy="1544955"/>
                  <wp:effectExtent l="19050" t="19050" r="13970" b="1714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62939" name="speaker.jp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l="11842" r="12548"/>
                          <a:stretch>
                            <a:fillRect/>
                          </a:stretch>
                        </pic:blipFill>
                        <pic:spPr bwMode="auto">
                          <a:xfrm>
                            <a:off x="0" y="0"/>
                            <a:ext cx="1167130" cy="1544955"/>
                          </a:xfrm>
                          <a:prstGeom prst="rect">
                            <a:avLst/>
                          </a:prstGeom>
                          <a:ln w="12700">
                            <a:solidFill>
                              <a:schemeClr val="accent3"/>
                            </a:solid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509E">
              <w:rPr>
                <w:i w:val="0"/>
                <w:noProof/>
                <w:sz w:val="32"/>
              </w:rPr>
              <w:t>Elliott J. Nethercutt</w:t>
            </w:r>
          </w:p>
          <w:p w:rsidR="00CC509E" w:rsidP="00CC509E" w14:paraId="764E054B" w14:textId="78C5A886">
            <w:pPr>
              <w:pStyle w:val="Heading2"/>
              <w:outlineLvl w:val="1"/>
            </w:pPr>
            <w:r w:rsidRPr="00CC509E">
              <w:rPr>
                <w:b w:val="0"/>
              </w:rPr>
              <w:t>Principal Researcher</w:t>
            </w:r>
          </w:p>
        </w:tc>
        <w:tc>
          <w:tcPr>
            <w:tcW w:w="7599" w:type="dxa"/>
            <w:shd w:val="clear" w:color="auto" w:fill="E7F8FF"/>
          </w:tcPr>
          <w:p w:rsidR="00CC509E" w:rsidP="009D7613" w14:paraId="2A2E06F5" w14:textId="528898B7">
            <w:r w:rsidRPr="00CC509E">
              <w:t>Elliott J. Nethercutt is a Principal Researcher at the National Regulatory Research Institute (NRRI) where he specializes in state and federal energy policy issues. Previously, he advanced market design enhancements at the California Independent System Operator (CAISO), developed reliability assessments at the North American Electric Reliability Corporation (NERC), and supported transmission siting efforts and smart grid funding programs at the U.S. Department of Energy (DOE). Elliott earned a</w:t>
            </w:r>
            <w:r>
              <w:t xml:space="preserve"> </w:t>
            </w:r>
            <w:r w:rsidRPr="00CC509E">
              <w:t>bachelor’s degree in economics from the University of Colorado and a master’s degree in applied economics from the Johns Hopkins University.</w:t>
            </w:r>
          </w:p>
          <w:p w:rsidR="00CC509E" w:rsidP="009D7613" w14:paraId="42CDB075" w14:textId="77777777"/>
        </w:tc>
      </w:tr>
    </w:tbl>
    <w:p w:rsidR="00CC509E" w:rsidP="00F9556F" w14:paraId="5B50D07F" w14:textId="54027124"/>
    <w:p w:rsidR="00CC509E" w:rsidP="00F9556F" w14:paraId="7CBB5DBF" w14:textId="3B086944"/>
    <w:p w:rsidR="00CC509E" w:rsidP="00F9556F" w14:paraId="4CBB195D" w14:textId="22F6E587"/>
    <w:p w:rsidR="002E38CB" w:rsidP="00F9556F" w14:paraId="74D02CA1" w14:textId="714D0C5B"/>
    <w:p w:rsidR="002E38CB" w:rsidP="00F9556F" w14:paraId="33DFE03E" w14:textId="2EAA74A1"/>
    <w:p w:rsidR="002E38CB" w:rsidP="00F9556F" w14:paraId="5C49109D" w14:textId="77777777"/>
    <w:tbl>
      <w:tblPr>
        <w:tblStyle w:val="TableGrid"/>
        <w:tblW w:w="9939" w:type="dxa"/>
        <w:tblInd w:w="-90" w:type="dxa"/>
        <w:tblBorders>
          <w:top w:val="none" w:sz="0" w:space="0" w:color="auto"/>
          <w:left w:val="none" w:sz="0" w:space="0" w:color="auto"/>
          <w:bottom w:val="none" w:sz="0" w:space="0" w:color="auto"/>
          <w:right w:val="none" w:sz="0" w:space="0" w:color="auto"/>
          <w:insideH w:val="none" w:sz="0" w:space="0" w:color="auto"/>
          <w:insideV w:val="single" w:sz="18" w:space="0" w:color="FFFFFF" w:themeColor="background1"/>
        </w:tblBorders>
        <w:tblCellMar>
          <w:top w:w="101" w:type="dxa"/>
          <w:left w:w="115" w:type="dxa"/>
          <w:right w:w="115" w:type="dxa"/>
        </w:tblCellMar>
        <w:tblLook w:val="04A0"/>
      </w:tblPr>
      <w:tblGrid>
        <w:gridCol w:w="2340"/>
        <w:gridCol w:w="7599"/>
      </w:tblGrid>
      <w:tr w14:paraId="7A52A8CB" w14:textId="77777777" w:rsidTr="009D7613">
        <w:tblPrEx>
          <w:tblW w:w="9939" w:type="dxa"/>
          <w:tblInd w:w="-90" w:type="dxa"/>
          <w:tblBorders>
            <w:top w:val="none" w:sz="0" w:space="0" w:color="auto"/>
            <w:left w:val="none" w:sz="0" w:space="0" w:color="auto"/>
            <w:bottom w:val="none" w:sz="0" w:space="0" w:color="auto"/>
            <w:right w:val="none" w:sz="0" w:space="0" w:color="auto"/>
            <w:insideH w:val="none" w:sz="0" w:space="0" w:color="auto"/>
            <w:insideV w:val="single" w:sz="18" w:space="0" w:color="FFFFFF" w:themeColor="background1"/>
          </w:tblBorders>
          <w:tblCellMar>
            <w:top w:w="101" w:type="dxa"/>
            <w:left w:w="115" w:type="dxa"/>
            <w:right w:w="115" w:type="dxa"/>
          </w:tblCellMar>
          <w:tblLook w:val="04A0"/>
        </w:tblPrEx>
        <w:trPr>
          <w:trHeight w:val="4660"/>
        </w:trPr>
        <w:tc>
          <w:tcPr>
            <w:tcW w:w="2340" w:type="dxa"/>
            <w:shd w:val="clear" w:color="auto" w:fill="E7F8FF"/>
          </w:tcPr>
          <w:p w:rsidR="00CC509E" w:rsidP="009D7613" w14:paraId="53DE28EA" w14:textId="77777777">
            <w:pPr>
              <w:pStyle w:val="Heading2"/>
              <w:outlineLvl w:val="1"/>
              <w:rPr>
                <w:i w:val="0"/>
                <w:sz w:val="32"/>
              </w:rPr>
            </w:pPr>
            <w:r>
              <w:rPr>
                <w:i w:val="0"/>
                <w:noProof/>
                <w:sz w:val="32"/>
              </w:rPr>
              <w:drawing>
                <wp:anchor distT="0" distB="0" distL="114300" distR="114300" simplePos="0" relativeHeight="251662336" behindDoc="0" locked="0" layoutInCell="1" allowOverlap="1">
                  <wp:simplePos x="0" y="0"/>
                  <wp:positionH relativeFrom="column">
                    <wp:posOffset>19050</wp:posOffset>
                  </wp:positionH>
                  <wp:positionV relativeFrom="paragraph">
                    <wp:posOffset>54610</wp:posOffset>
                  </wp:positionV>
                  <wp:extent cx="1149350" cy="1584960"/>
                  <wp:effectExtent l="19050" t="19050" r="12700" b="1524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2166"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14413" r="14904" b="34868"/>
                          <a:stretch>
                            <a:fillRect/>
                          </a:stretch>
                        </pic:blipFill>
                        <pic:spPr bwMode="auto">
                          <a:xfrm>
                            <a:off x="0" y="0"/>
                            <a:ext cx="1149350" cy="1584960"/>
                          </a:xfrm>
                          <a:prstGeom prst="rect">
                            <a:avLst/>
                          </a:prstGeom>
                          <a:noFill/>
                          <a:ln w="12700">
                            <a:solidFill>
                              <a:schemeClr val="accent3"/>
                            </a:solid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1840">
              <w:rPr>
                <w:i w:val="0"/>
                <w:sz w:val="32"/>
              </w:rPr>
              <w:t xml:space="preserve">Phil </w:t>
            </w:r>
            <w:r>
              <w:rPr>
                <w:i w:val="0"/>
                <w:sz w:val="32"/>
              </w:rPr>
              <w:br/>
              <w:t>Pettingill, P.E.</w:t>
            </w:r>
          </w:p>
          <w:p w:rsidR="00CC509E" w:rsidRPr="002322E3" w:rsidP="009D7613" w14:paraId="0CD48941" w14:textId="674114A6">
            <w:pPr>
              <w:pStyle w:val="Heading2"/>
              <w:outlineLvl w:val="1"/>
              <w:rPr>
                <w:b w:val="0"/>
              </w:rPr>
            </w:pPr>
            <w:r w:rsidRPr="002322E3">
              <w:rPr>
                <w:b w:val="0"/>
              </w:rPr>
              <w:t>Director</w:t>
            </w:r>
            <w:r w:rsidR="0028647B">
              <w:rPr>
                <w:b w:val="0"/>
              </w:rPr>
              <w:t xml:space="preserve"> </w:t>
            </w:r>
            <w:r w:rsidR="0028647B">
              <w:rPr>
                <w:rFonts w:ascii="Arial" w:hAnsi="Arial" w:cs="Arial"/>
                <w:b w:val="0"/>
              </w:rPr>
              <w:t>–</w:t>
            </w:r>
            <w:r w:rsidRPr="002322E3">
              <w:rPr>
                <w:b w:val="0"/>
              </w:rPr>
              <w:t xml:space="preserve"> Regional Integration</w:t>
            </w:r>
          </w:p>
          <w:p w:rsidR="00CC509E" w:rsidP="009D7613" w14:paraId="50A239D6" w14:textId="77777777"/>
        </w:tc>
        <w:tc>
          <w:tcPr>
            <w:tcW w:w="7599" w:type="dxa"/>
            <w:shd w:val="clear" w:color="auto" w:fill="E7F8FF"/>
          </w:tcPr>
          <w:p w:rsidR="00CC509E" w:rsidRPr="002322E3" w:rsidP="009D7613" w14:paraId="7A919B8F" w14:textId="46C2172B">
            <w:r w:rsidRPr="002322E3">
              <w:t>Phil Pettingill currently serves as Director of Regional Integration at the California Independent System Operator Corporation (ISO)</w:t>
            </w:r>
            <w:r w:rsidR="008509E1">
              <w:t xml:space="preserve">. </w:t>
            </w:r>
            <w:r w:rsidRPr="002322E3">
              <w:t>In his most recent role, he coordinated the project to provide Reliability Coordinator services to the ISO balancing area and offer those services to other balancing authorities and transmission operators in the western United States. In many forums, he serves as an external spokesperson to provide expertise between the ISO and policymakers. He also engages in many regulatory initiatives supporting California’s environmental goals, including achieving the 60 percent renewable portfolio standard in 2030 and 100% carbon-free energy by 2045.</w:t>
            </w:r>
          </w:p>
          <w:p w:rsidR="00CC509E" w:rsidRPr="002322E3" w:rsidP="009D7613" w14:paraId="3F09AE77" w14:textId="1EFFB7EC">
            <w:r w:rsidRPr="002322E3">
              <w:t xml:space="preserve">He has served in various significant capacities at the ISO, representing the main grid operator for California before western state regulatory agencies and working with a diverse set of policymakers to ensure regulatory and policy initiatives consider impacts on the electric system operated by ISO and the customers it serves. </w:t>
            </w:r>
          </w:p>
          <w:p w:rsidR="00CC509E" w:rsidP="009D7613" w14:paraId="7176EC43" w14:textId="533F9068">
            <w:r w:rsidRPr="002322E3">
              <w:t>Mr. Pettingill joined the ISO in September 1997 after working at Pacific Gas and Electric for 15 years. He is a licensed electrical engineer and has a Bachelor of Science in Electrical Engineering from California State University, Sacramento and Master of Business Administration from St. Mary’s College, California.</w:t>
            </w:r>
          </w:p>
        </w:tc>
      </w:tr>
    </w:tbl>
    <w:p w:rsidR="00CC509E" w:rsidP="00F9556F" w14:paraId="423EB0A4" w14:textId="7A0B5133"/>
    <w:p w:rsidR="00CC509E" w:rsidP="00F9556F" w14:paraId="1F3718A0" w14:textId="1FB878C9"/>
    <w:tbl>
      <w:tblPr>
        <w:tblStyle w:val="TableGrid"/>
        <w:tblW w:w="9924" w:type="dxa"/>
        <w:tblInd w:w="-90" w:type="dxa"/>
        <w:tblBorders>
          <w:top w:val="none" w:sz="0" w:space="0" w:color="auto"/>
          <w:left w:val="none" w:sz="0" w:space="0" w:color="auto"/>
          <w:bottom w:val="none" w:sz="0" w:space="0" w:color="auto"/>
          <w:right w:val="none" w:sz="0" w:space="0" w:color="auto"/>
          <w:insideV w:val="single" w:sz="18" w:space="0" w:color="FFFFFF" w:themeColor="background1"/>
        </w:tblBorders>
        <w:tblCellMar>
          <w:top w:w="72" w:type="dxa"/>
          <w:left w:w="115" w:type="dxa"/>
          <w:right w:w="115" w:type="dxa"/>
        </w:tblCellMar>
        <w:tblLook w:val="04A0"/>
      </w:tblPr>
      <w:tblGrid>
        <w:gridCol w:w="2356"/>
        <w:gridCol w:w="7568"/>
      </w:tblGrid>
      <w:tr w14:paraId="46F72603" w14:textId="77777777" w:rsidTr="009D7613">
        <w:tblPrEx>
          <w:tblW w:w="9924" w:type="dxa"/>
          <w:tblInd w:w="-90" w:type="dxa"/>
          <w:tblBorders>
            <w:top w:val="none" w:sz="0" w:space="0" w:color="auto"/>
            <w:left w:val="none" w:sz="0" w:space="0" w:color="auto"/>
            <w:bottom w:val="none" w:sz="0" w:space="0" w:color="auto"/>
            <w:right w:val="none" w:sz="0" w:space="0" w:color="auto"/>
            <w:insideV w:val="single" w:sz="18" w:space="0" w:color="FFFFFF" w:themeColor="background1"/>
          </w:tblBorders>
          <w:tblCellMar>
            <w:top w:w="72" w:type="dxa"/>
            <w:left w:w="115" w:type="dxa"/>
            <w:right w:w="115" w:type="dxa"/>
          </w:tblCellMar>
          <w:tblLook w:val="04A0"/>
        </w:tblPrEx>
        <w:trPr>
          <w:trHeight w:val="4607"/>
        </w:trPr>
        <w:tc>
          <w:tcPr>
            <w:tcW w:w="2356" w:type="dxa"/>
            <w:shd w:val="clear" w:color="auto" w:fill="E7F8FF"/>
          </w:tcPr>
          <w:p w:rsidR="00A87D55" w:rsidP="009D7613" w14:paraId="526D5DEF" w14:textId="77777777">
            <w:pPr>
              <w:rPr>
                <w:rFonts w:eastAsia="Times New Roman"/>
                <w:b/>
                <w:bCs/>
                <w:i/>
                <w:iCs/>
                <w:color w:val="00B0F0"/>
                <w:sz w:val="28"/>
                <w:szCs w:val="28"/>
              </w:rPr>
            </w:pPr>
            <w:r w:rsidRPr="00FB75AF">
              <w:rPr>
                <w:noProof/>
              </w:rPr>
              <w:drawing>
                <wp:anchor distT="0" distB="91440" distL="114300" distR="114300" simplePos="0" relativeHeight="251666432" behindDoc="0" locked="0" layoutInCell="1" allowOverlap="1">
                  <wp:simplePos x="0" y="0"/>
                  <wp:positionH relativeFrom="column">
                    <wp:posOffset>32287</wp:posOffset>
                  </wp:positionH>
                  <wp:positionV relativeFrom="paragraph">
                    <wp:posOffset>66040</wp:posOffset>
                  </wp:positionV>
                  <wp:extent cx="1141602" cy="1636776"/>
                  <wp:effectExtent l="19050" t="19050" r="20955" b="20955"/>
                  <wp:wrapTopAndBottom/>
                  <wp:docPr id="13" name="Picture 6" descr="G:\Photos\Headshots\PJM employees\bernebeau, Emanual\crop bernebeau, emanual IMG_10046_for PPT 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G:\Photos\Headshots\PJM employees\bernebeau, Emanual\crop bernebeau, emanual IMG_10046_for PPT Bio.jp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b="11877"/>
                          <a:stretch>
                            <a:fillRect/>
                          </a:stretch>
                        </pic:blipFill>
                        <pic:spPr bwMode="auto">
                          <a:xfrm>
                            <a:off x="0" y="0"/>
                            <a:ext cx="1141602" cy="1636776"/>
                          </a:xfrm>
                          <a:prstGeom prst="rect">
                            <a:avLst/>
                          </a:prstGeom>
                          <a:noFill/>
                          <a:ln w="12700">
                            <a:solidFill>
                              <a:schemeClr val="accent3"/>
                            </a:solidFill>
                          </a:ln>
                          <a:effectLst/>
                        </pic:spPr>
                      </pic:pic>
                    </a:graphicData>
                  </a:graphic>
                  <wp14:sizeRelH relativeFrom="margin">
                    <wp14:pctWidth>0</wp14:pctWidth>
                  </wp14:sizeRelH>
                  <wp14:sizeRelV relativeFrom="margin">
                    <wp14:pctHeight>0</wp14:pctHeight>
                  </wp14:sizeRelV>
                </wp:anchor>
              </w:drawing>
            </w:r>
            <w:r w:rsidRPr="002A450E">
              <w:rPr>
                <w:rFonts w:eastAsia="Times New Roman"/>
                <w:b/>
                <w:bCs/>
                <w:i/>
                <w:iCs/>
                <w:color w:val="00B0F0"/>
                <w:sz w:val="28"/>
                <w:szCs w:val="28"/>
              </w:rPr>
              <w:t>Emanuel Bernabeu</w:t>
            </w:r>
          </w:p>
          <w:p w:rsidR="00A87D55" w:rsidRPr="00003D32" w:rsidP="009D7613" w14:paraId="48B98E30" w14:textId="4893BE0C">
            <w:pPr>
              <w:pStyle w:val="Heading2"/>
              <w:spacing w:before="0" w:after="0"/>
              <w:outlineLvl w:val="1"/>
              <w:rPr>
                <w:b w:val="0"/>
              </w:rPr>
            </w:pPr>
            <w:r w:rsidRPr="00003D32">
              <w:rPr>
                <w:b w:val="0"/>
              </w:rPr>
              <w:t>Director – Applied Innovation &amp; Analytics</w:t>
            </w:r>
          </w:p>
        </w:tc>
        <w:tc>
          <w:tcPr>
            <w:tcW w:w="7568" w:type="dxa"/>
            <w:shd w:val="clear" w:color="auto" w:fill="E7F8FF"/>
          </w:tcPr>
          <w:p w:rsidR="00A87D55" w:rsidRPr="00DE6C7E" w:rsidP="009D7613" w14:paraId="1190A4A7" w14:textId="4D8E9D72">
            <w:r>
              <w:t xml:space="preserve">Emanuel </w:t>
            </w:r>
            <w:r w:rsidRPr="00FB75AF">
              <w:t xml:space="preserve">Bernabeu leads the Applied </w:t>
            </w:r>
            <w:r>
              <w:t>Innovation &amp; Analytics</w:t>
            </w:r>
            <w:r w:rsidRPr="00FB75AF">
              <w:t xml:space="preserve"> </w:t>
            </w:r>
            <w:r w:rsidR="00E81B01">
              <w:t>D</w:t>
            </w:r>
            <w:r w:rsidRPr="00FB75AF">
              <w:t>epartment at PJM, a cross-silo team that focuses on research and development and special studies.</w:t>
            </w:r>
          </w:p>
          <w:p w:rsidR="00A87D55" w:rsidRPr="00FB75AF" w:rsidP="009D7613" w14:paraId="75094CA4" w14:textId="0C51A968">
            <w:r>
              <w:br w:type="column"/>
            </w:r>
            <w:r w:rsidRPr="00FB75AF">
              <w:t xml:space="preserve">His team embraces innovation and fosters collaboration with PJM’s members, national laboratories, industry and universities to operationalize emerging technologies. Some examples are synchrophasors, enhanced situational awareness, Dispatch Interactive Map Application, voltage optimization and topology control. The Applied </w:t>
            </w:r>
            <w:r w:rsidR="001C7C1B">
              <w:t>Innovation</w:t>
            </w:r>
            <w:r w:rsidRPr="00FB75AF" w:rsidR="001C7C1B">
              <w:t xml:space="preserve"> </w:t>
            </w:r>
            <w:r w:rsidR="007736CE">
              <w:t>D</w:t>
            </w:r>
            <w:r w:rsidRPr="00FB75AF">
              <w:t xml:space="preserve">epartment also conducts special studies that require advanced modeling techniques, such as </w:t>
            </w:r>
            <w:r w:rsidR="007736CE">
              <w:t>e</w:t>
            </w:r>
            <w:r w:rsidRPr="00FB75AF">
              <w:t xml:space="preserve">nergy </w:t>
            </w:r>
            <w:r w:rsidR="007736CE">
              <w:t>m</w:t>
            </w:r>
            <w:r w:rsidRPr="00FB75AF">
              <w:t xml:space="preserve">anagement </w:t>
            </w:r>
            <w:r w:rsidR="007736CE">
              <w:t>s</w:t>
            </w:r>
            <w:r w:rsidRPr="00FB75AF">
              <w:t>ystem</w:t>
            </w:r>
            <w:r w:rsidR="001C7C1B">
              <w:t>s</w:t>
            </w:r>
            <w:r w:rsidRPr="00FB75AF">
              <w:t xml:space="preserve">, </w:t>
            </w:r>
            <w:r w:rsidR="007736CE">
              <w:t>geom</w:t>
            </w:r>
            <w:r w:rsidRPr="00FB75AF">
              <w:t xml:space="preserve">agnetic </w:t>
            </w:r>
            <w:r w:rsidR="007736CE">
              <w:t>d</w:t>
            </w:r>
            <w:r w:rsidRPr="00FB75AF">
              <w:t>isturbance</w:t>
            </w:r>
            <w:r w:rsidR="001C7C1B">
              <w:t>s</w:t>
            </w:r>
            <w:r w:rsidRPr="00FB75AF">
              <w:t>, physical attacks, cascading outages and voltage stability.</w:t>
            </w:r>
          </w:p>
          <w:p w:rsidR="00A87D55" w:rsidP="009D7613" w14:paraId="00CE35B4" w14:textId="418EBDDD">
            <w:r w:rsidRPr="00FB75AF">
              <w:t>Prior to joining PJM, Bernabeu spent five years with Dominion Virginia Power in Richmond, V</w:t>
            </w:r>
            <w:r w:rsidR="008509E1">
              <w:t>irginia,</w:t>
            </w:r>
            <w:r w:rsidRPr="00FB75AF">
              <w:t xml:space="preserve"> holding a consultant engineering position.</w:t>
            </w:r>
          </w:p>
          <w:p w:rsidR="00A87D55" w:rsidP="009D7613" w14:paraId="01EEF344" w14:textId="1C168C12">
            <w:r w:rsidRPr="00FB75AF">
              <w:t xml:space="preserve">Bernabeu has a Bachelor of Science in electronics from the Universidad Catolica de Cordoba, </w:t>
            </w:r>
            <w:r w:rsidR="000223E5">
              <w:t xml:space="preserve">and </w:t>
            </w:r>
            <w:r w:rsidRPr="00FB75AF">
              <w:t>a Master of Science in power systems, a Master of Science in applied economics and a Ph.D. in power systems from Virginia Tech.</w:t>
            </w:r>
          </w:p>
        </w:tc>
      </w:tr>
    </w:tbl>
    <w:p w:rsidR="00CC509E" w:rsidP="00F9556F" w14:paraId="4665BB85" w14:textId="47D7ACF7"/>
    <w:p w:rsidR="00CC509E" w:rsidP="00F9556F" w14:paraId="38135CCB" w14:textId="59DBA226"/>
    <w:sectPr w:rsidSect="002322E3">
      <w:headerReference w:type="default" r:id="rId12"/>
      <w:footerReference w:type="default" r:id="rId13"/>
      <w:pgSz w:w="12240" w:h="15840"/>
      <w:pgMar w:top="22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4105" w14:paraId="54F9DA50" w14:textId="77777777">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5645785</wp:posOffset>
              </wp:positionH>
              <wp:positionV relativeFrom="paragraph">
                <wp:posOffset>-73074</wp:posOffset>
              </wp:positionV>
              <wp:extent cx="605790" cy="26924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79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4105" w:rsidRPr="002A450E" w14:textId="77777777">
                          <w:pPr>
                            <w:rPr>
                              <w:b/>
                              <w:color w:val="FFFFFF" w:themeColor="background1"/>
                            </w:rPr>
                          </w:pPr>
                          <w:r w:rsidRPr="002A450E">
                            <w:rPr>
                              <w:b/>
                              <w:color w:val="FFFFFF" w:themeColor="background1"/>
                            </w:rPr>
                            <w:t>©2021</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2053" type="#_x0000_t202" style="width:47.7pt;height:21.2pt;margin-top:-5.75pt;margin-left:444.55pt;mso-height-percent:0;mso-height-relative:margin;mso-wrap-distance-bottom:0;mso-wrap-distance-left:9pt;mso-wrap-distance-right:9pt;mso-wrap-distance-top:0;mso-wrap-style:square;position:absolute;visibility:visible;v-text-anchor:top;z-index:251659264" filled="f" stroked="f" strokeweight="0.5pt">
              <v:textbox>
                <w:txbxContent>
                  <w:p w:rsidR="003D4105" w:rsidRPr="002A450E" w14:paraId="6D3DF0A2" w14:textId="77777777">
                    <w:pPr>
                      <w:rPr>
                        <w:b/>
                        <w:color w:val="FFFFFF" w:themeColor="background1"/>
                      </w:rPr>
                    </w:pPr>
                    <w:r w:rsidRPr="002A450E">
                      <w:rPr>
                        <w:b/>
                        <w:color w:val="FFFFFF" w:themeColor="background1"/>
                      </w:rPr>
                      <w:t>©2021</w:t>
                    </w:r>
                  </w:p>
                </w:txbxContent>
              </v:textbox>
            </v:shape>
          </w:pict>
        </mc:Fallback>
      </mc:AlternateContent>
    </w:r>
    <w:r w:rsidRPr="007F0F69">
      <w:rPr>
        <w:noProof/>
      </w:rPr>
      <w:drawing>
        <wp:anchor distT="0" distB="0" distL="114300" distR="114300" simplePos="0" relativeHeight="251660288" behindDoc="1" locked="0" layoutInCell="1" allowOverlap="1">
          <wp:simplePos x="0" y="0"/>
          <wp:positionH relativeFrom="column">
            <wp:posOffset>-929542</wp:posOffset>
          </wp:positionH>
          <wp:positionV relativeFrom="paragraph">
            <wp:posOffset>-463550</wp:posOffset>
          </wp:positionV>
          <wp:extent cx="7798777" cy="1100327"/>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98777" cy="1100327"/>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556F" w:rsidP="00F9556F" w14:paraId="0078DF93" w14:textId="21AB5519">
    <w:pPr>
      <w:pStyle w:val="Header"/>
      <w:tabs>
        <w:tab w:val="clear" w:pos="9360"/>
      </w:tabs>
      <w:ind w:right="-450"/>
      <w:jc w:val="right"/>
      <w:rPr>
        <w:color w:val="013366" w:themeColor="accent1"/>
      </w:rPr>
    </w:pPr>
    <w:r>
      <w:rPr>
        <w:noProof/>
        <w:color w:val="013366" w:themeColor="accent1"/>
      </w:rPr>
      <mc:AlternateContent>
        <mc:Choice Requires="wpg">
          <w:drawing>
            <wp:anchor distT="0" distB="0" distL="114300" distR="114300" simplePos="0" relativeHeight="251661312" behindDoc="0" locked="0" layoutInCell="1" allowOverlap="1">
              <wp:simplePos x="0" y="0"/>
              <wp:positionH relativeFrom="column">
                <wp:posOffset>-483577</wp:posOffset>
              </wp:positionH>
              <wp:positionV relativeFrom="paragraph">
                <wp:posOffset>-175846</wp:posOffset>
              </wp:positionV>
              <wp:extent cx="3296920" cy="1070610"/>
              <wp:effectExtent l="0" t="0" r="0" b="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3296920" cy="1070610"/>
                        <a:chOff x="0" y="0"/>
                        <a:chExt cx="3296920" cy="1070610"/>
                      </a:xfrm>
                    </wpg:grpSpPr>
                    <pic:pic xmlns:pic="http://schemas.openxmlformats.org/drawingml/2006/picture">
                      <pic:nvPicPr>
                        <pic:cNvPr id="19" name="Picture 19"/>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r="51811"/>
                        <a:stretch>
                          <a:fillRect/>
                        </a:stretch>
                      </pic:blipFill>
                      <pic:spPr bwMode="auto">
                        <a:xfrm>
                          <a:off x="0" y="0"/>
                          <a:ext cx="3296920" cy="1070610"/>
                        </a:xfrm>
                        <a:prstGeom prst="rect">
                          <a:avLst/>
                        </a:prstGeom>
                        <a:ln>
                          <a:noFill/>
                        </a:ln>
                        <a:extLst>
                          <a:ext xmlns:a="http://schemas.openxmlformats.org/drawingml/2006/main" uri="{53640926-AAD7-44D8-BBD7-CCE9431645EC}">
                            <a14:shadowObscured xmlns:a14="http://schemas.microsoft.com/office/drawing/2010/main"/>
                          </a:ext>
                        </a:extLst>
                      </pic:spPr>
                    </pic:pic>
                    <wps:wsp xmlns:wps="http://schemas.microsoft.com/office/word/2010/wordprocessingShape">
                      <wps:cNvPr id="5" name="Rectangle 5"/>
                      <wps:cNvSpPr/>
                      <wps:spPr>
                        <a:xfrm>
                          <a:off x="2602523" y="747346"/>
                          <a:ext cx="114300" cy="9671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id="Group 6" o:spid="_x0000_s2049" style="width:259.6pt;height:84.3pt;margin-top:-13.85pt;margin-left:-38.1pt;position:absolute;z-index:251662336" coordsize="32969,10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2050" type="#_x0000_t75" style="width:32969;height:10706;mso-wrap-style:square;position:absolute;visibility:visible">
                <v:imagedata r:id="rId1" o:title="" cropright="33955f"/>
                <v:path arrowok="t"/>
              </v:shape>
              <v:rect id="Rectangle 5" o:spid="_x0000_s2051" style="width:1143;height:967;left:26025;mso-wrap-style:square;position:absolute;top:7473;visibility:visible;v-text-anchor:middle" fillcolor="white" stroked="f" strokeweight="2pt"/>
            </v:group>
          </w:pict>
        </mc:Fallback>
      </mc:AlternateContent>
    </w:r>
    <w:r w:rsidRPr="00F9556F">
      <w:rPr>
        <w:color w:val="013366" w:themeColor="accent1"/>
      </w:rPr>
      <w:t>PJM General Session</w:t>
    </w:r>
  </w:p>
  <w:p w:rsidR="00F9556F" w:rsidRPr="00F9556F" w:rsidP="00F9556F" w14:paraId="3825CB97" w14:textId="77777777">
    <w:pPr>
      <w:pStyle w:val="Header"/>
      <w:tabs>
        <w:tab w:val="clear" w:pos="9360"/>
      </w:tabs>
      <w:ind w:right="-450"/>
      <w:jc w:val="right"/>
      <w:rPr>
        <w:color w:val="013366" w:themeColor="accent1"/>
      </w:rPr>
    </w:pPr>
    <w:r w:rsidRPr="00F9556F">
      <w:rPr>
        <w:color w:val="013366" w:themeColor="accent1"/>
      </w:rPr>
      <w:t>Exploring the Intersection of Decarbonization and Reliability</w:t>
    </w:r>
  </w:p>
  <w:p w:rsidR="003D4105" w:rsidP="003D4105" w14:paraId="1D003ABF" w14:textId="26F633CF">
    <w:pPr>
      <w:pStyle w:val="Header"/>
      <w:jc w:val="both"/>
    </w:pPr>
    <w:r>
      <w:rPr>
        <w:noProof/>
      </w:rPr>
      <mc:AlternateContent>
        <mc:Choice Requires="wps">
          <w:drawing>
            <wp:anchor distT="0" distB="0" distL="114300" distR="114300" simplePos="0" relativeHeight="251663360" behindDoc="0" locked="0" layoutInCell="1" allowOverlap="1">
              <wp:simplePos x="0" y="0"/>
              <wp:positionH relativeFrom="column">
                <wp:posOffset>1010920</wp:posOffset>
              </wp:positionH>
              <wp:positionV relativeFrom="paragraph">
                <wp:posOffset>250288</wp:posOffset>
              </wp:positionV>
              <wp:extent cx="5238408" cy="0"/>
              <wp:effectExtent l="0" t="0" r="19685" b="1905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H="1">
                        <a:off x="0" y="0"/>
                        <a:ext cx="5238408" cy="0"/>
                      </a:xfrm>
                      <a:prstGeom prst="line">
                        <a:avLst/>
                      </a:prstGeom>
                      <a:ln w="19050">
                        <a:solidFill>
                          <a:srgbClr val="003A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2052" style="flip:x;mso-width-percent:0;mso-width-relative:margin;mso-wrap-distance-bottom:0;mso-wrap-distance-left:9pt;mso-wrap-distance-right:9pt;mso-wrap-distance-top:0;mso-wrap-style:square;position:absolute;visibility:visible;z-index:251664384" from="79.6pt,19.7pt" to="492.05pt,19.7pt" strokecolor="#003a5d"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FB4DDA"/>
    <w:multiLevelType w:val="hybridMultilevel"/>
    <w:tmpl w:val="6B1814F2"/>
    <w:lvl w:ilvl="0">
      <w:start w:val="1"/>
      <w:numFmt w:val="bullet"/>
      <w:pStyle w:val="List-BulletsBOLD"/>
      <w:lvlText w:val=""/>
      <w:lvlJc w:val="left"/>
      <w:pPr>
        <w:ind w:left="720" w:hanging="360"/>
      </w:pPr>
      <w:rPr>
        <w:rFonts w:ascii="Symbol" w:hAnsi="Symbol" w:hint="default"/>
        <w:color w:val="008FC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05"/>
    <w:rsid w:val="00003D32"/>
    <w:rsid w:val="000223E5"/>
    <w:rsid w:val="00061CE3"/>
    <w:rsid w:val="000F31B3"/>
    <w:rsid w:val="00103BB0"/>
    <w:rsid w:val="00126AB2"/>
    <w:rsid w:val="00161265"/>
    <w:rsid w:val="001C7C1B"/>
    <w:rsid w:val="0022403B"/>
    <w:rsid w:val="002322E3"/>
    <w:rsid w:val="0024596A"/>
    <w:rsid w:val="002706B9"/>
    <w:rsid w:val="0028647B"/>
    <w:rsid w:val="002A450E"/>
    <w:rsid w:val="002E38CB"/>
    <w:rsid w:val="003D4105"/>
    <w:rsid w:val="00427380"/>
    <w:rsid w:val="004B555A"/>
    <w:rsid w:val="00541264"/>
    <w:rsid w:val="00570CDD"/>
    <w:rsid w:val="005823EC"/>
    <w:rsid w:val="00584E9C"/>
    <w:rsid w:val="005A453C"/>
    <w:rsid w:val="005D2906"/>
    <w:rsid w:val="00660626"/>
    <w:rsid w:val="00675884"/>
    <w:rsid w:val="00731B4F"/>
    <w:rsid w:val="007736CE"/>
    <w:rsid w:val="007E0F68"/>
    <w:rsid w:val="007F0F69"/>
    <w:rsid w:val="007F4FE3"/>
    <w:rsid w:val="008509E1"/>
    <w:rsid w:val="00945303"/>
    <w:rsid w:val="00957D9E"/>
    <w:rsid w:val="00976FDC"/>
    <w:rsid w:val="009A7C47"/>
    <w:rsid w:val="009D7613"/>
    <w:rsid w:val="00A45A6B"/>
    <w:rsid w:val="00A549BA"/>
    <w:rsid w:val="00A87D55"/>
    <w:rsid w:val="00AC04FB"/>
    <w:rsid w:val="00B12F68"/>
    <w:rsid w:val="00B26ADF"/>
    <w:rsid w:val="00B32C29"/>
    <w:rsid w:val="00B4186B"/>
    <w:rsid w:val="00B51840"/>
    <w:rsid w:val="00B912EC"/>
    <w:rsid w:val="00BC234C"/>
    <w:rsid w:val="00BC6FAA"/>
    <w:rsid w:val="00BE4154"/>
    <w:rsid w:val="00BE7353"/>
    <w:rsid w:val="00C73172"/>
    <w:rsid w:val="00C8490F"/>
    <w:rsid w:val="00CC509E"/>
    <w:rsid w:val="00CE5F63"/>
    <w:rsid w:val="00CF4FCE"/>
    <w:rsid w:val="00D24F65"/>
    <w:rsid w:val="00D769DD"/>
    <w:rsid w:val="00D83059"/>
    <w:rsid w:val="00DE6C7E"/>
    <w:rsid w:val="00DE72C4"/>
    <w:rsid w:val="00E0186D"/>
    <w:rsid w:val="00E36D53"/>
    <w:rsid w:val="00E81B01"/>
    <w:rsid w:val="00EB74AC"/>
    <w:rsid w:val="00ED0636"/>
    <w:rsid w:val="00ED097E"/>
    <w:rsid w:val="00EF486C"/>
    <w:rsid w:val="00F16959"/>
    <w:rsid w:val="00F70230"/>
    <w:rsid w:val="00F9556F"/>
    <w:rsid w:val="00FB75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4D5A897-DA28-4B3D-A179-09B8DC81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09E"/>
    <w:pPr>
      <w:spacing w:after="120" w:line="280" w:lineRule="exact"/>
    </w:pPr>
    <w:rPr>
      <w:rFonts w:ascii="Arial Narrow" w:eastAsia="Calibri" w:hAnsi="Arial Narrow" w:cs="Times New Roman"/>
    </w:rPr>
  </w:style>
  <w:style w:type="paragraph" w:styleId="Heading1">
    <w:name w:val="heading 1"/>
    <w:basedOn w:val="Normal"/>
    <w:next w:val="Normal"/>
    <w:link w:val="Heading1Char"/>
    <w:uiPriority w:val="9"/>
    <w:qFormat/>
    <w:rsid w:val="00F9556F"/>
    <w:pPr>
      <w:keepNext/>
      <w:keepLines/>
      <w:spacing w:before="240" w:after="0"/>
      <w:outlineLvl w:val="0"/>
    </w:pPr>
    <w:rPr>
      <w:rFonts w:asciiTheme="majorHAnsi" w:eastAsiaTheme="majorEastAsia" w:hAnsiTheme="majorHAnsi" w:cstheme="majorBidi"/>
      <w:color w:val="00264C" w:themeColor="accent1" w:themeShade="BF"/>
      <w:sz w:val="32"/>
      <w:szCs w:val="32"/>
    </w:rPr>
  </w:style>
  <w:style w:type="paragraph" w:styleId="Heading2">
    <w:name w:val="heading 2"/>
    <w:basedOn w:val="Normal"/>
    <w:next w:val="Normal"/>
    <w:link w:val="Heading2Char"/>
    <w:uiPriority w:val="9"/>
    <w:unhideWhenUsed/>
    <w:qFormat/>
    <w:rsid w:val="003D4105"/>
    <w:pPr>
      <w:keepNext/>
      <w:spacing w:before="240" w:after="60"/>
      <w:outlineLvl w:val="1"/>
    </w:pPr>
    <w:rPr>
      <w:rFonts w:eastAsia="Times New Roman"/>
      <w:b/>
      <w:bCs/>
      <w:i/>
      <w:iCs/>
      <w:color w:val="00B0F0"/>
      <w:sz w:val="28"/>
      <w:szCs w:val="28"/>
    </w:rPr>
  </w:style>
  <w:style w:type="paragraph" w:styleId="Heading3">
    <w:name w:val="heading 3"/>
    <w:basedOn w:val="Normal"/>
    <w:next w:val="Normal"/>
    <w:link w:val="Heading3Char"/>
    <w:uiPriority w:val="9"/>
    <w:unhideWhenUsed/>
    <w:qFormat/>
    <w:rsid w:val="003D4105"/>
    <w:pPr>
      <w:keepNext/>
      <w:spacing w:before="240" w:after="60"/>
      <w:outlineLvl w:val="2"/>
    </w:pPr>
    <w:rPr>
      <w:rFonts w:eastAsia="Times New Roman"/>
      <w:b/>
      <w:bCs/>
      <w:color w:val="17365D"/>
      <w:szCs w:val="26"/>
    </w:rPr>
  </w:style>
  <w:style w:type="paragraph" w:styleId="Heading4">
    <w:name w:val="heading 4"/>
    <w:basedOn w:val="Normal"/>
    <w:next w:val="Normal"/>
    <w:link w:val="Heading4Char"/>
    <w:uiPriority w:val="9"/>
    <w:unhideWhenUsed/>
    <w:qFormat/>
    <w:rsid w:val="003D4105"/>
    <w:pPr>
      <w:keepNext/>
      <w:spacing w:before="240" w:after="6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105"/>
    <w:pPr>
      <w:tabs>
        <w:tab w:val="center" w:pos="4680"/>
        <w:tab w:val="right" w:pos="9360"/>
      </w:tabs>
      <w:spacing w:after="0"/>
    </w:pPr>
  </w:style>
  <w:style w:type="character" w:customStyle="1" w:styleId="HeaderChar">
    <w:name w:val="Header Char"/>
    <w:basedOn w:val="DefaultParagraphFont"/>
    <w:link w:val="Header"/>
    <w:uiPriority w:val="99"/>
    <w:rsid w:val="003D4105"/>
    <w:rPr>
      <w:rFonts w:ascii="Arial Narrow" w:hAnsi="Arial Narrow" w:cs="Times New Roman"/>
      <w:sz w:val="24"/>
      <w:szCs w:val="24"/>
    </w:rPr>
  </w:style>
  <w:style w:type="paragraph" w:styleId="Footer">
    <w:name w:val="footer"/>
    <w:basedOn w:val="Normal"/>
    <w:link w:val="FooterChar"/>
    <w:uiPriority w:val="99"/>
    <w:unhideWhenUsed/>
    <w:rsid w:val="003D4105"/>
    <w:pPr>
      <w:tabs>
        <w:tab w:val="center" w:pos="4680"/>
        <w:tab w:val="right" w:pos="9360"/>
      </w:tabs>
      <w:spacing w:after="0"/>
    </w:pPr>
  </w:style>
  <w:style w:type="character" w:customStyle="1" w:styleId="FooterChar">
    <w:name w:val="Footer Char"/>
    <w:basedOn w:val="DefaultParagraphFont"/>
    <w:link w:val="Footer"/>
    <w:uiPriority w:val="99"/>
    <w:rsid w:val="003D4105"/>
    <w:rPr>
      <w:rFonts w:ascii="Arial Narrow" w:hAnsi="Arial Narrow" w:cs="Times New Roman"/>
      <w:sz w:val="24"/>
      <w:szCs w:val="24"/>
    </w:rPr>
  </w:style>
  <w:style w:type="character" w:customStyle="1" w:styleId="Heading2Char">
    <w:name w:val="Heading 2 Char"/>
    <w:basedOn w:val="DefaultParagraphFont"/>
    <w:link w:val="Heading2"/>
    <w:uiPriority w:val="9"/>
    <w:rsid w:val="003D4105"/>
    <w:rPr>
      <w:rFonts w:ascii="Arial Narrow" w:hAnsi="Arial Narrow" w:cs="Times New Roman"/>
      <w:b/>
      <w:bCs/>
      <w:i/>
      <w:iCs/>
      <w:color w:val="00B0F0"/>
      <w:sz w:val="28"/>
      <w:szCs w:val="28"/>
    </w:rPr>
  </w:style>
  <w:style w:type="character" w:customStyle="1" w:styleId="Heading3Char">
    <w:name w:val="Heading 3 Char"/>
    <w:basedOn w:val="DefaultParagraphFont"/>
    <w:link w:val="Heading3"/>
    <w:uiPriority w:val="9"/>
    <w:rsid w:val="003D4105"/>
    <w:rPr>
      <w:rFonts w:ascii="Arial Narrow" w:hAnsi="Arial Narrow" w:cs="Times New Roman"/>
      <w:b/>
      <w:bCs/>
      <w:color w:val="17365D"/>
      <w:szCs w:val="26"/>
    </w:rPr>
  </w:style>
  <w:style w:type="character" w:customStyle="1" w:styleId="Heading4Char">
    <w:name w:val="Heading 4 Char"/>
    <w:basedOn w:val="DefaultParagraphFont"/>
    <w:link w:val="Heading4"/>
    <w:uiPriority w:val="9"/>
    <w:rsid w:val="003D4105"/>
    <w:rPr>
      <w:rFonts w:ascii="Arial Narrow" w:hAnsi="Arial Narrow" w:cs="Times New Roman"/>
      <w:b/>
      <w:bCs/>
      <w:szCs w:val="28"/>
    </w:rPr>
  </w:style>
  <w:style w:type="paragraph" w:customStyle="1" w:styleId="List-BulletsBOLD">
    <w:name w:val="List - Bullets BOLD"/>
    <w:basedOn w:val="ListParagraph"/>
    <w:next w:val="ListBullet"/>
    <w:qFormat/>
    <w:rsid w:val="003D4105"/>
    <w:pPr>
      <w:numPr>
        <w:numId w:val="1"/>
      </w:numPr>
      <w:tabs>
        <w:tab w:val="num" w:pos="360"/>
      </w:tabs>
      <w:ind w:firstLine="0"/>
      <w:contextualSpacing w:val="0"/>
    </w:pPr>
    <w:rPr>
      <w:b/>
      <w:lang w:val="en"/>
    </w:rPr>
  </w:style>
  <w:style w:type="paragraph" w:customStyle="1" w:styleId="List-Bullets">
    <w:name w:val="List - Bullets"/>
    <w:basedOn w:val="List-BulletsBOLD"/>
    <w:qFormat/>
    <w:rsid w:val="003D4105"/>
    <w:rPr>
      <w:b w:val="0"/>
    </w:rPr>
  </w:style>
  <w:style w:type="paragraph" w:styleId="Title">
    <w:name w:val="Title"/>
    <w:aliases w:val="Name"/>
    <w:basedOn w:val="Normal"/>
    <w:next w:val="Normal"/>
    <w:link w:val="TitleChar"/>
    <w:uiPriority w:val="10"/>
    <w:qFormat/>
    <w:rsid w:val="003D4105"/>
    <w:pPr>
      <w:spacing w:before="240" w:after="240" w:line="420" w:lineRule="exact"/>
      <w:jc w:val="center"/>
      <w:outlineLvl w:val="0"/>
    </w:pPr>
    <w:rPr>
      <w:rFonts w:eastAsia="Times New Roman"/>
      <w:b/>
      <w:bCs/>
      <w:color w:val="F79646"/>
      <w:spacing w:val="2"/>
      <w:kern w:val="28"/>
      <w:sz w:val="52"/>
      <w:szCs w:val="32"/>
    </w:rPr>
  </w:style>
  <w:style w:type="character" w:customStyle="1" w:styleId="TitleChar">
    <w:name w:val="Title Char"/>
    <w:aliases w:val="Name Char"/>
    <w:basedOn w:val="DefaultParagraphFont"/>
    <w:link w:val="Title"/>
    <w:uiPriority w:val="10"/>
    <w:rsid w:val="003D4105"/>
    <w:rPr>
      <w:rFonts w:ascii="Arial Narrow" w:hAnsi="Arial Narrow" w:cs="Times New Roman"/>
      <w:b/>
      <w:bCs/>
      <w:color w:val="F79646"/>
      <w:spacing w:val="2"/>
      <w:kern w:val="28"/>
      <w:sz w:val="52"/>
      <w:szCs w:val="32"/>
    </w:rPr>
  </w:style>
  <w:style w:type="character" w:styleId="Strong">
    <w:name w:val="Strong"/>
    <w:qFormat/>
    <w:rsid w:val="003D4105"/>
    <w:rPr>
      <w:rFonts w:ascii="Arial" w:hAnsi="Arial"/>
      <w:b/>
      <w:bCs/>
      <w:sz w:val="22"/>
    </w:rPr>
  </w:style>
  <w:style w:type="paragraph" w:customStyle="1" w:styleId="largenumber">
    <w:name w:val="large number"/>
    <w:basedOn w:val="Normal"/>
    <w:link w:val="largenumberChar"/>
    <w:qFormat/>
    <w:rsid w:val="003D4105"/>
    <w:pPr>
      <w:spacing w:before="120" w:after="0"/>
    </w:pPr>
    <w:rPr>
      <w:b/>
      <w:sz w:val="32"/>
    </w:rPr>
  </w:style>
  <w:style w:type="character" w:customStyle="1" w:styleId="largenumberChar">
    <w:name w:val="large number Char"/>
    <w:link w:val="largenumber"/>
    <w:rsid w:val="003D4105"/>
    <w:rPr>
      <w:rFonts w:ascii="Arial Narrow" w:eastAsia="Calibri" w:hAnsi="Arial Narrow" w:cs="Times New Roman"/>
      <w:b/>
      <w:sz w:val="32"/>
    </w:rPr>
  </w:style>
  <w:style w:type="paragraph" w:styleId="ListParagraph">
    <w:name w:val="List Paragraph"/>
    <w:basedOn w:val="Normal"/>
    <w:uiPriority w:val="34"/>
    <w:qFormat/>
    <w:rsid w:val="003D4105"/>
    <w:pPr>
      <w:ind w:left="720"/>
      <w:contextualSpacing/>
    </w:pPr>
  </w:style>
  <w:style w:type="paragraph" w:styleId="ListBullet">
    <w:name w:val="List Bullet"/>
    <w:basedOn w:val="Normal"/>
    <w:uiPriority w:val="99"/>
    <w:semiHidden/>
    <w:unhideWhenUsed/>
    <w:rsid w:val="003D4105"/>
    <w:pPr>
      <w:ind w:left="720" w:hanging="360"/>
      <w:contextualSpacing/>
    </w:pPr>
  </w:style>
  <w:style w:type="character" w:customStyle="1" w:styleId="Heading1Char">
    <w:name w:val="Heading 1 Char"/>
    <w:basedOn w:val="DefaultParagraphFont"/>
    <w:link w:val="Heading1"/>
    <w:uiPriority w:val="9"/>
    <w:rsid w:val="00F9556F"/>
    <w:rPr>
      <w:rFonts w:asciiTheme="majorHAnsi" w:eastAsiaTheme="majorEastAsia" w:hAnsiTheme="majorHAnsi" w:cstheme="majorBidi"/>
      <w:color w:val="00264C" w:themeColor="accent1" w:themeShade="BF"/>
      <w:sz w:val="32"/>
      <w:szCs w:val="32"/>
    </w:rPr>
  </w:style>
  <w:style w:type="character" w:styleId="CommentReference">
    <w:name w:val="annotation reference"/>
    <w:uiPriority w:val="99"/>
    <w:semiHidden/>
    <w:unhideWhenUsed/>
    <w:rsid w:val="00F9556F"/>
    <w:rPr>
      <w:sz w:val="16"/>
      <w:szCs w:val="16"/>
    </w:rPr>
  </w:style>
  <w:style w:type="paragraph" w:styleId="CommentText">
    <w:name w:val="annotation text"/>
    <w:basedOn w:val="Normal"/>
    <w:link w:val="CommentTextChar"/>
    <w:uiPriority w:val="99"/>
    <w:semiHidden/>
    <w:unhideWhenUsed/>
    <w:rsid w:val="00F9556F"/>
    <w:rPr>
      <w:sz w:val="20"/>
      <w:szCs w:val="20"/>
    </w:rPr>
  </w:style>
  <w:style w:type="character" w:customStyle="1" w:styleId="CommentTextChar">
    <w:name w:val="Comment Text Char"/>
    <w:basedOn w:val="DefaultParagraphFont"/>
    <w:link w:val="CommentText"/>
    <w:uiPriority w:val="99"/>
    <w:semiHidden/>
    <w:rsid w:val="00F9556F"/>
    <w:rPr>
      <w:rFonts w:ascii="Arial Narrow" w:eastAsia="Calibri" w:hAnsi="Arial Narrow" w:cs="Times New Roman"/>
      <w:sz w:val="20"/>
      <w:szCs w:val="20"/>
    </w:rPr>
  </w:style>
  <w:style w:type="paragraph" w:customStyle="1" w:styleId="disclaimer">
    <w:name w:val="disclaimer"/>
    <w:basedOn w:val="Normal"/>
    <w:qFormat/>
    <w:rsid w:val="00F9556F"/>
    <w:pPr>
      <w:spacing w:after="0" w:line="240" w:lineRule="auto"/>
    </w:pPr>
    <w:rPr>
      <w:rFonts w:eastAsia="Times New Roman"/>
      <w:sz w:val="18"/>
      <w:szCs w:val="18"/>
    </w:rPr>
  </w:style>
  <w:style w:type="paragraph" w:styleId="BalloonText">
    <w:name w:val="Balloon Text"/>
    <w:basedOn w:val="Normal"/>
    <w:link w:val="BalloonTextChar"/>
    <w:uiPriority w:val="99"/>
    <w:semiHidden/>
    <w:unhideWhenUsed/>
    <w:rsid w:val="00F95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56F"/>
    <w:rPr>
      <w:rFonts w:ascii="Segoe UI" w:eastAsia="Calibri" w:hAnsi="Segoe UI" w:cs="Segoe UI"/>
      <w:sz w:val="18"/>
      <w:szCs w:val="18"/>
    </w:rPr>
  </w:style>
  <w:style w:type="paragraph" w:customStyle="1" w:styleId="Time">
    <w:name w:val="Time"/>
    <w:basedOn w:val="Heading3"/>
    <w:link w:val="TimeChar"/>
    <w:qFormat/>
    <w:rsid w:val="002A450E"/>
    <w:pPr>
      <w:spacing w:before="0" w:after="0" w:line="240" w:lineRule="auto"/>
      <w:jc w:val="right"/>
    </w:pPr>
    <w:rPr>
      <w:sz w:val="28"/>
    </w:rPr>
  </w:style>
  <w:style w:type="paragraph" w:customStyle="1" w:styleId="Tablesubtitle">
    <w:name w:val="Table_subtitle"/>
    <w:basedOn w:val="Normal"/>
    <w:link w:val="TablesubtitleChar"/>
    <w:qFormat/>
    <w:rsid w:val="002A450E"/>
    <w:pPr>
      <w:spacing w:after="60" w:line="240" w:lineRule="auto"/>
    </w:pPr>
    <w:rPr>
      <w:rFonts w:ascii="Arial" w:hAnsi="Arial" w:cs="Arial"/>
      <w:b/>
      <w:color w:val="729800" w:themeColor="accent2" w:themeShade="BF"/>
      <w:sz w:val="32"/>
    </w:rPr>
  </w:style>
  <w:style w:type="character" w:customStyle="1" w:styleId="TimeChar">
    <w:name w:val="Time Char"/>
    <w:basedOn w:val="Heading3Char"/>
    <w:link w:val="Time"/>
    <w:rsid w:val="002A450E"/>
    <w:rPr>
      <w:rFonts w:ascii="Arial Narrow" w:hAnsi="Arial Narrow" w:cs="Times New Roman"/>
      <w:b/>
      <w:bCs/>
      <w:color w:val="17365D"/>
      <w:sz w:val="28"/>
      <w:szCs w:val="26"/>
    </w:rPr>
  </w:style>
  <w:style w:type="character" w:styleId="SubtleEmphasis">
    <w:name w:val="Subtle Emphasis"/>
    <w:basedOn w:val="DefaultParagraphFont"/>
    <w:uiPriority w:val="19"/>
    <w:qFormat/>
    <w:rsid w:val="002A450E"/>
    <w:rPr>
      <w:rFonts w:ascii="Arial" w:hAnsi="Arial"/>
      <w:b/>
      <w:i w:val="0"/>
      <w:iCs/>
      <w:color w:val="00B0F0" w:themeColor="accent3"/>
    </w:rPr>
  </w:style>
  <w:style w:type="character" w:customStyle="1" w:styleId="TablesubtitleChar">
    <w:name w:val="Table_subtitle Char"/>
    <w:basedOn w:val="DefaultParagraphFont"/>
    <w:link w:val="Tablesubtitle"/>
    <w:rsid w:val="002A450E"/>
    <w:rPr>
      <w:rFonts w:ascii="Arial" w:eastAsia="Calibri" w:hAnsi="Arial" w:cs="Arial"/>
      <w:b/>
      <w:color w:val="729800" w:themeColor="accent2" w:themeShade="BF"/>
      <w:sz w:val="32"/>
    </w:rPr>
  </w:style>
  <w:style w:type="table" w:styleId="TableGrid">
    <w:name w:val="Table Grid"/>
    <w:basedOn w:val="TableNormal"/>
    <w:uiPriority w:val="59"/>
    <w:rsid w:val="002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DLayout">
    <w:name w:val="JD Layout"/>
    <w:uiPriority w:val="1"/>
    <w:rsid w:val="002322E3"/>
    <w:rPr>
      <w:rFonts w:ascii="Arial" w:hAnsi="Arial"/>
    </w:rPr>
  </w:style>
  <w:style w:type="paragraph" w:styleId="CommentSubject">
    <w:name w:val="annotation subject"/>
    <w:basedOn w:val="CommentText"/>
    <w:next w:val="CommentText"/>
    <w:link w:val="CommentSubjectChar"/>
    <w:uiPriority w:val="99"/>
    <w:semiHidden/>
    <w:unhideWhenUsed/>
    <w:rsid w:val="00731B4F"/>
    <w:pPr>
      <w:spacing w:line="240" w:lineRule="auto"/>
    </w:pPr>
    <w:rPr>
      <w:b/>
      <w:bCs/>
    </w:rPr>
  </w:style>
  <w:style w:type="character" w:customStyle="1" w:styleId="CommentSubjectChar">
    <w:name w:val="Comment Subject Char"/>
    <w:basedOn w:val="CommentTextChar"/>
    <w:link w:val="CommentSubject"/>
    <w:uiPriority w:val="99"/>
    <w:semiHidden/>
    <w:rsid w:val="00731B4F"/>
    <w:rPr>
      <w:rFonts w:ascii="Arial Narrow" w:eastAsia="Calibri" w:hAnsi="Arial Narro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cid:61F847DB-CC11-4E1C-A1D4-EE83EE32BA81" TargetMode="External" /><Relationship Id="rId9" Type="http://schemas.openxmlformats.org/officeDocument/2006/relationships/image" Target="media/image5.jpeg" /></Relationships>
</file>

<file path=word/_rels/footer1.xml.rels>&#65279;<?xml version="1.0" encoding="utf-8" standalone="yes"?><Relationships xmlns="http://schemas.openxmlformats.org/package/2006/relationships"><Relationship Id="rId1" Type="http://schemas.openxmlformats.org/officeDocument/2006/relationships/image" Target="media/image9.png" /></Relationships>
</file>

<file path=word/_rels/header1.xml.rels>&#65279;<?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2021-04-27T17:48:43Z</dcterms:created>
  <dcterms:modified xsi:type="dcterms:W3CDTF">2021-04-27T17:48:43Z</dcterms:modified>
</cp:coreProperties>
</file>