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Webex</w:t>
      </w:r>
      <w:r>
        <w:t xml:space="preserve"> </w:t>
      </w:r>
    </w:p>
    <w:p w:rsidR="00B62597" w:rsidRPr="00B62597" w:rsidP="00755096" w14:paraId="29E6E678" w14:textId="5E027FFE">
      <w:pPr>
        <w:pStyle w:val="MeetingDetails"/>
      </w:pPr>
      <w:r>
        <w:t>May 22</w:t>
      </w:r>
      <w:r w:rsidR="00A24B0A">
        <w:t>, 2023</w:t>
      </w:r>
    </w:p>
    <w:p w:rsidR="00B62597" w:rsidRPr="00B62597" w:rsidP="00755096" w14:paraId="1A24411E" w14:textId="0343A6D3">
      <w:pPr>
        <w:pStyle w:val="MeetingDetails"/>
        <w:rPr>
          <w:sz w:val="28"/>
          <w:u w:val="single"/>
        </w:rPr>
      </w:pPr>
      <w:r>
        <w:t>10:00 a.m. – 11:2</w:t>
      </w:r>
      <w:r w:rsidR="00007D32">
        <w:t>0 a</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1D26AF27">
      <w:pPr>
        <w:pStyle w:val="PrimaryHeading"/>
        <w:rPr>
          <w:caps/>
        </w:rPr>
      </w:pPr>
      <w:bookmarkStart w:id="0" w:name="OLE_LINK5"/>
      <w:bookmarkStart w:id="1" w:name="OLE_LINK3"/>
      <w:r w:rsidRPr="00527104">
        <w:t>Adm</w:t>
      </w:r>
      <w:r w:rsidRPr="007C2954">
        <w:t>inistrati</w:t>
      </w:r>
      <w:r w:rsidR="00AA7266">
        <w:t>on (10:00-10:05</w:t>
      </w:r>
      <w:r w:rsidRPr="00527104">
        <w:t>)</w:t>
      </w:r>
    </w:p>
    <w:bookmarkEnd w:id="0"/>
    <w:bookmarkEnd w:id="1"/>
    <w:p w:rsidR="00765556" w:rsidP="000D27C8" w14:paraId="088767FB" w14:textId="16E30399">
      <w:pPr>
        <w:pStyle w:val="ListSubhead1"/>
        <w:rPr>
          <w:b w:val="0"/>
        </w:rPr>
      </w:pPr>
      <w:r>
        <w:rPr>
          <w:b w:val="0"/>
        </w:rPr>
        <w:t xml:space="preserve">Welcome and Announcements </w:t>
      </w:r>
      <w:r w:rsidR="004B542B">
        <w:rPr>
          <w:b w:val="0"/>
        </w:rPr>
        <w:t>– Michele Greening</w:t>
      </w:r>
    </w:p>
    <w:p w:rsidR="00B93208" w:rsidRPr="0006255F" w:rsidP="00B93208" w14:paraId="1E954A58" w14:textId="70058D9B">
      <w:pPr>
        <w:pStyle w:val="PrimaryHeading"/>
      </w:pPr>
      <w:r w:rsidRPr="0006255F">
        <w:t xml:space="preserve">Continued Discussion </w:t>
      </w:r>
      <w:r>
        <w:t>Topics (</w:t>
      </w:r>
      <w:r w:rsidR="00007D32">
        <w:t>10:05-10:</w:t>
      </w:r>
      <w:r w:rsidR="00CB6CD9">
        <w:t>30</w:t>
      </w:r>
      <w:r>
        <w:t>)</w:t>
      </w:r>
    </w:p>
    <w:p w:rsidR="00007D32" w:rsidP="00007D32" w14:paraId="65082EC3" w14:textId="5829AB39">
      <w:pPr>
        <w:pStyle w:val="ListSubhead1"/>
        <w:rPr>
          <w:b w:val="0"/>
        </w:rPr>
      </w:pPr>
      <w:r>
        <w:rPr>
          <w:b w:val="0"/>
        </w:rPr>
        <w:t xml:space="preserve">Voting Order of Motions Made Outside of Meetings – John Horstmann </w:t>
      </w:r>
    </w:p>
    <w:p w:rsidR="00C0372F" w:rsidRPr="00C0372F" w:rsidP="00C0372F" w14:paraId="752C20AF" w14:textId="4864B8DC">
      <w:pPr>
        <w:pStyle w:val="PrimaryHeading"/>
      </w:pPr>
      <w:r w:rsidRPr="00C0372F">
        <w:t>New Discussion Topics (</w:t>
      </w:r>
      <w:r w:rsidR="00CB6CD9">
        <w:t>10:30-</w:t>
      </w:r>
      <w:r w:rsidR="00FD3869">
        <w:t>10:5</w:t>
      </w:r>
      <w:r w:rsidR="00C00522">
        <w:t>5</w:t>
      </w:r>
      <w:r w:rsidRPr="00C0372F">
        <w:t xml:space="preserve">) </w:t>
      </w:r>
    </w:p>
    <w:p w:rsidR="002B5C5A" w:rsidP="002B5C5A" w14:paraId="6E7B3127" w14:textId="77E68688">
      <w:pPr>
        <w:pStyle w:val="ListSubhead1"/>
        <w:rPr>
          <w:b w:val="0"/>
        </w:rPr>
      </w:pPr>
      <w:r w:rsidRPr="00C0372F">
        <w:rPr>
          <w:b w:val="0"/>
        </w:rPr>
        <w:t>Transparency Around Proprietary Models and Data Used by PJM</w:t>
      </w:r>
      <w:r>
        <w:rPr>
          <w:b w:val="0"/>
        </w:rPr>
        <w:t xml:space="preserve"> – Jim Wilson</w:t>
      </w:r>
      <w:r w:rsidR="00A251A8">
        <w:rPr>
          <w:b w:val="0"/>
        </w:rPr>
        <w:t xml:space="preserve"> (10:30-10:55)</w:t>
      </w:r>
    </w:p>
    <w:p w:rsidR="00A251A8" w:rsidRPr="002B5C5A" w:rsidP="002B5C5A" w14:paraId="7442C239" w14:textId="53F0CD0E">
      <w:pPr>
        <w:pStyle w:val="ListSubhead1"/>
        <w:rPr>
          <w:b w:val="0"/>
        </w:rPr>
      </w:pPr>
      <w:r>
        <w:rPr>
          <w:b w:val="0"/>
        </w:rPr>
        <w:t>I</w:t>
      </w:r>
      <w:r w:rsidR="00031DEE">
        <w:rPr>
          <w:b w:val="0"/>
        </w:rPr>
        <w:t>ntrod</w:t>
      </w:r>
      <w:r>
        <w:rPr>
          <w:b w:val="0"/>
        </w:rPr>
        <w:t>u</w:t>
      </w:r>
      <w:r w:rsidR="00031DEE">
        <w:rPr>
          <w:b w:val="0"/>
        </w:rPr>
        <w:t>c</w:t>
      </w:r>
      <w:r>
        <w:rPr>
          <w:b w:val="0"/>
        </w:rPr>
        <w:t>tion</w:t>
      </w:r>
      <w:r w:rsidR="00031DEE">
        <w:rPr>
          <w:b w:val="0"/>
        </w:rPr>
        <w:t xml:space="preserve"> </w:t>
      </w:r>
      <w:r>
        <w:rPr>
          <w:b w:val="0"/>
        </w:rPr>
        <w:t>of Additional New Topics (10:55-11:</w:t>
      </w:r>
      <w:r>
        <w:rPr>
          <w:b w:val="0"/>
        </w:rPr>
        <w:t>20</w:t>
      </w:r>
      <w:r>
        <w:rPr>
          <w:b w:val="0"/>
        </w:rPr>
        <w:t>)</w:t>
      </w:r>
      <w:bookmarkStart w:id="2" w:name="_GoBack"/>
      <w:bookmarkEnd w:id="2"/>
    </w:p>
    <w:p w:rsidR="00881DF9" w:rsidRPr="00881DF9" w:rsidP="00881DF9" w14:paraId="7FBA281B" w14:textId="18B0ABA2">
      <w:pPr>
        <w:pStyle w:val="PrimaryHeading"/>
      </w:pPr>
      <w:r w:rsidRPr="00881DF9">
        <w:t>Future Topics (</w:t>
      </w:r>
      <w:r w:rsidR="00A251A8">
        <w:t>1</w:t>
      </w:r>
      <w:r w:rsidR="009B0EE6">
        <w:t>1:2</w:t>
      </w:r>
      <w:r w:rsidR="00A251A8">
        <w:t>0</w:t>
      </w:r>
      <w:r w:rsidRPr="00881DF9">
        <w:t xml:space="preserve">) </w:t>
      </w:r>
    </w:p>
    <w:p w:rsidR="00AA7266" w:rsidRPr="00AA7266" w:rsidP="002B5C5A" w14:paraId="312896FE" w14:textId="246745DF">
      <w:pPr>
        <w:pStyle w:val="ListSubhead1"/>
        <w:numPr>
          <w:ilvl w:val="0"/>
          <w:numId w:val="0"/>
        </w:numPr>
        <w:ind w:left="360"/>
        <w:rPr>
          <w:b w:val="0"/>
        </w:rPr>
      </w:pPr>
      <w:r w:rsidRPr="00AA7266">
        <w:rPr>
          <w:b w:val="0"/>
        </w:rPr>
        <w:t xml:space="preserve">Manual 34 Periodic Review </w:t>
      </w:r>
      <w:r w:rsidRPr="00AA7266">
        <w:rPr>
          <w:b w:val="0"/>
        </w:rPr>
        <w:t xml:space="preserve">including Posting Timelines Revisions – Michele Greening </w:t>
      </w:r>
    </w:p>
    <w:p w:rsidR="00AA7266" w:rsidRPr="00AA7266" w:rsidP="002B5C5A" w14:paraId="5D54EDCF" w14:textId="361218AD">
      <w:pPr>
        <w:pStyle w:val="ListSubhead1"/>
        <w:numPr>
          <w:ilvl w:val="0"/>
          <w:numId w:val="0"/>
        </w:numPr>
        <w:ind w:left="360"/>
        <w:rPr>
          <w:b w:val="0"/>
        </w:rPr>
      </w:pPr>
      <w:r w:rsidRPr="00CA197C">
        <w:rPr>
          <w:b w:val="0"/>
        </w:rPr>
        <w:t xml:space="preserve">Manual 34 Revisions - Critical Issue Fast Path (CIFP) – Alex Scheirer and Dave Anders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108DF4F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E7767D" w:rsidP="00345EED" w14:paraId="4FFBCD66" w14:textId="2CDE9736">
            <w:pPr>
              <w:pStyle w:val="DisclaimerHeading"/>
              <w:spacing w:before="40" w:after="40" w:line="220" w:lineRule="exact"/>
              <w:rPr>
                <w:bCs/>
              </w:rPr>
            </w:pPr>
            <w:r>
              <w:rPr>
                <w:bCs/>
              </w:rPr>
              <w:t xml:space="preserve">June 20, 2023 </w:t>
            </w:r>
          </w:p>
        </w:tc>
        <w:tc>
          <w:tcPr>
            <w:tcW w:w="990" w:type="dxa"/>
            <w:gridSpan w:val="2"/>
            <w:tcBorders>
              <w:top w:val="single" w:sz="4" w:space="0" w:color="auto"/>
              <w:left w:val="single" w:sz="4" w:space="0" w:color="auto"/>
              <w:bottom w:val="single" w:sz="4" w:space="0" w:color="auto"/>
              <w:right w:val="single" w:sz="8" w:space="0" w:color="auto"/>
            </w:tcBorders>
          </w:tcPr>
          <w:p w:rsidR="00E7767D" w:rsidP="00103B39" w14:paraId="0A03A2DE" w14:textId="7AAD5561">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E7767D" w:rsidP="00103B39" w14:paraId="488BC5D6" w14:textId="470BF3A3">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E7767D" w:rsidP="00E7767D" w14:paraId="35317C82" w14:textId="43ACC0C0">
            <w:pPr>
              <w:pStyle w:val="DisclaimerHeading"/>
              <w:spacing w:before="40" w:after="40" w:line="220" w:lineRule="exact"/>
              <w:jc w:val="center"/>
              <w:rPr>
                <w:b w:val="0"/>
                <w:color w:val="auto"/>
                <w:sz w:val="18"/>
                <w:szCs w:val="18"/>
              </w:rPr>
            </w:pPr>
            <w:r>
              <w:rPr>
                <w:b w:val="0"/>
                <w:color w:val="auto"/>
                <w:sz w:val="18"/>
                <w:szCs w:val="18"/>
              </w:rPr>
              <w:t>June 9, 2023</w:t>
            </w:r>
          </w:p>
        </w:tc>
        <w:tc>
          <w:tcPr>
            <w:tcW w:w="1635" w:type="dxa"/>
            <w:tcBorders>
              <w:top w:val="single" w:sz="4" w:space="0" w:color="auto"/>
              <w:left w:val="single" w:sz="4" w:space="0" w:color="auto"/>
              <w:bottom w:val="single" w:sz="4" w:space="0" w:color="auto"/>
              <w:right w:val="single" w:sz="4" w:space="0" w:color="auto"/>
            </w:tcBorders>
          </w:tcPr>
          <w:p w:rsidR="00E7767D" w:rsidP="00E7767D" w14:paraId="468251EE" w14:textId="51777BED">
            <w:pPr>
              <w:pStyle w:val="DisclaimerHeading"/>
              <w:spacing w:before="40" w:after="40" w:line="220" w:lineRule="exact"/>
              <w:jc w:val="center"/>
              <w:rPr>
                <w:b w:val="0"/>
                <w:color w:val="auto"/>
                <w:sz w:val="18"/>
                <w:szCs w:val="18"/>
              </w:rPr>
            </w:pPr>
            <w:r>
              <w:rPr>
                <w:b w:val="0"/>
                <w:color w:val="auto"/>
                <w:sz w:val="18"/>
                <w:szCs w:val="18"/>
              </w:rPr>
              <w:t xml:space="preserve">June 14, 2023 </w:t>
            </w:r>
          </w:p>
        </w:tc>
      </w:tr>
      <w:tr w14:paraId="07E21D7A"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79CDD3AD" w14:textId="05A6B8E6">
            <w:pPr>
              <w:pStyle w:val="DisclaimerHeading"/>
              <w:spacing w:before="40" w:after="40" w:line="220" w:lineRule="exact"/>
              <w:rPr>
                <w:bCs/>
              </w:rPr>
            </w:pPr>
            <w:r>
              <w:rPr>
                <w:bCs/>
              </w:rPr>
              <w:t>July 24, 2023</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683E880F" w14:textId="2762700B">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41F69D29" w14:textId="383FA421">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2CF81572" w14:textId="70FEB10E">
            <w:pPr>
              <w:pStyle w:val="DisclaimerHeading"/>
              <w:spacing w:before="40" w:after="40" w:line="220" w:lineRule="exact"/>
              <w:jc w:val="center"/>
              <w:rPr>
                <w:b w:val="0"/>
                <w:color w:val="auto"/>
                <w:sz w:val="18"/>
                <w:szCs w:val="18"/>
              </w:rPr>
            </w:pPr>
            <w:r>
              <w:rPr>
                <w:b w:val="0"/>
                <w:color w:val="auto"/>
                <w:sz w:val="18"/>
                <w:szCs w:val="18"/>
              </w:rPr>
              <w:t>July 14,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45B914D" w14:textId="78F5B03C">
            <w:pPr>
              <w:pStyle w:val="DisclaimerHeading"/>
              <w:spacing w:before="40" w:after="40" w:line="220" w:lineRule="exact"/>
              <w:jc w:val="center"/>
              <w:rPr>
                <w:b w:val="0"/>
                <w:color w:val="auto"/>
                <w:sz w:val="18"/>
                <w:szCs w:val="18"/>
              </w:rPr>
            </w:pPr>
            <w:r>
              <w:rPr>
                <w:b w:val="0"/>
                <w:color w:val="auto"/>
                <w:sz w:val="18"/>
                <w:szCs w:val="18"/>
              </w:rPr>
              <w:t xml:space="preserve">July 19, 2023 </w:t>
            </w:r>
          </w:p>
        </w:tc>
      </w:tr>
      <w:tr w14:paraId="4A84C4D8"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759D59A" w14:textId="47D021D4">
            <w:pPr>
              <w:pStyle w:val="DisclaimerHeading"/>
              <w:spacing w:before="40" w:after="40" w:line="220" w:lineRule="exact"/>
              <w:rPr>
                <w:bCs/>
              </w:rPr>
            </w:pPr>
            <w:r>
              <w:rPr>
                <w:bCs/>
              </w:rPr>
              <w:t xml:space="preserve">September 18,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5C644E2F" w14:textId="6AA146B6">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0F1847BB" w14:textId="508833AE">
            <w:pPr>
              <w:pStyle w:val="DisclaimerHeading"/>
              <w:spacing w:before="40" w:after="40" w:line="220" w:lineRule="exact"/>
              <w:rPr>
                <w:b w:val="0"/>
                <w:color w:val="auto"/>
                <w:sz w:val="18"/>
                <w:szCs w:val="18"/>
              </w:rPr>
            </w:pPr>
            <w:r>
              <w:rPr>
                <w:b w:val="0"/>
                <w:color w:val="auto"/>
                <w:sz w:val="18"/>
                <w:szCs w:val="18"/>
              </w:rPr>
              <w:t xml:space="preserve">WebEx </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31847E91" w14:textId="07F91395">
            <w:pPr>
              <w:pStyle w:val="DisclaimerHeading"/>
              <w:spacing w:before="40" w:after="40" w:line="220" w:lineRule="exact"/>
              <w:jc w:val="center"/>
              <w:rPr>
                <w:b w:val="0"/>
                <w:color w:val="auto"/>
                <w:sz w:val="18"/>
                <w:szCs w:val="18"/>
              </w:rPr>
            </w:pPr>
            <w:r>
              <w:rPr>
                <w:b w:val="0"/>
                <w:color w:val="auto"/>
                <w:sz w:val="18"/>
                <w:szCs w:val="18"/>
              </w:rPr>
              <w:t>September 8,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42F84BE7" w14:textId="374E6071">
            <w:pPr>
              <w:pStyle w:val="DisclaimerHeading"/>
              <w:spacing w:before="40" w:after="40" w:line="220" w:lineRule="exact"/>
              <w:jc w:val="center"/>
              <w:rPr>
                <w:b w:val="0"/>
                <w:color w:val="auto"/>
                <w:sz w:val="18"/>
                <w:szCs w:val="18"/>
              </w:rPr>
            </w:pPr>
            <w:r>
              <w:rPr>
                <w:b w:val="0"/>
                <w:color w:val="auto"/>
                <w:sz w:val="18"/>
                <w:szCs w:val="18"/>
              </w:rPr>
              <w:t>September 13, 2023</w:t>
            </w:r>
          </w:p>
        </w:tc>
      </w:tr>
      <w:tr w14:paraId="7B61CB15"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345EED" w14:paraId="4D24919B" w14:textId="246B5EB6">
            <w:pPr>
              <w:pStyle w:val="DisclaimerHeading"/>
              <w:spacing w:before="40" w:after="40" w:line="220" w:lineRule="exact"/>
              <w:rPr>
                <w:bCs/>
              </w:rPr>
            </w:pPr>
            <w:r>
              <w:rPr>
                <w:bCs/>
              </w:rPr>
              <w:t xml:space="preserve">October 23,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EF2C785" w14:textId="0482DDD4">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12DCF57D" w14:textId="7850B150">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41C26A6B" w14:textId="2C6109DD">
            <w:pPr>
              <w:pStyle w:val="DisclaimerHeading"/>
              <w:spacing w:before="40" w:after="40" w:line="220" w:lineRule="exact"/>
              <w:jc w:val="center"/>
              <w:rPr>
                <w:b w:val="0"/>
                <w:color w:val="auto"/>
                <w:sz w:val="18"/>
                <w:szCs w:val="18"/>
              </w:rPr>
            </w:pPr>
            <w:r>
              <w:rPr>
                <w:b w:val="0"/>
                <w:color w:val="auto"/>
                <w:sz w:val="18"/>
                <w:szCs w:val="18"/>
              </w:rPr>
              <w:t>October 13,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795294" w14:textId="6C4D66AD">
            <w:pPr>
              <w:pStyle w:val="DisclaimerHeading"/>
              <w:spacing w:before="40" w:after="40" w:line="220" w:lineRule="exact"/>
              <w:jc w:val="center"/>
              <w:rPr>
                <w:b w:val="0"/>
                <w:color w:val="auto"/>
                <w:sz w:val="18"/>
                <w:szCs w:val="18"/>
              </w:rPr>
            </w:pPr>
            <w:r>
              <w:rPr>
                <w:b w:val="0"/>
                <w:color w:val="auto"/>
                <w:sz w:val="18"/>
                <w:szCs w:val="18"/>
              </w:rPr>
              <w:t>October 18, 2023</w:t>
            </w: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214C756C">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BA696F" w:rsidP="00027F49" w14:paraId="0D4174A6" w14:textId="00F9520A">
      <w:pPr>
        <w:pStyle w:val="DisclaimerBodyCopy"/>
      </w:pPr>
    </w:p>
    <w:p w:rsidR="00BA696F" w:rsidP="00027F49" w14:paraId="202ED5C2" w14:textId="77777777">
      <w:pPr>
        <w:pStyle w:val="DisclaimerBodyCopy"/>
      </w:pPr>
      <w:r w:rsidRPr="00BA696F">
        <w:rPr>
          <w:b/>
          <w:color w:val="013C59"/>
        </w:rPr>
        <w:t xml:space="preserve">Participant Use of </w:t>
      </w:r>
      <w:r w:rsidRPr="00BA696F">
        <w:rPr>
          <w:b/>
          <w:color w:val="013C59"/>
        </w:rPr>
        <w:t>Webex</w:t>
      </w:r>
      <w:r w:rsidRPr="00BA696F">
        <w:rPr>
          <w:b/>
          <w:color w:val="013C59"/>
        </w:rPr>
        <w:t xml:space="preserve"> Chat:</w:t>
      </w:r>
      <w:r>
        <w:t xml:space="preserve"> </w:t>
      </w:r>
    </w:p>
    <w:p w:rsidR="00BA696F" w:rsidP="00027F49" w14:paraId="77CCF1F1" w14:textId="3EB42651">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02EF614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1DEE">
      <w:rPr>
        <w:rStyle w:val="PageNumber"/>
        <w:noProof/>
      </w:rPr>
      <w:t>1</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71F59EE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84DC2">
      <w:t>May 17</w:t>
    </w:r>
    <w:r w:rsidR="0007436D">
      <w:t xml:space="preserve">,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26437A1"/>
    <w:multiLevelType w:val="hybridMultilevel"/>
    <w:tmpl w:val="C4A2EC10"/>
    <w:lvl w:ilvl="0">
      <w:start w:val="1"/>
      <w:numFmt w:val="decimal"/>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 w:numId="9">
    <w:abstractNumId w:val="7"/>
  </w:num>
  <w:num w:numId="10">
    <w:abstractNumId w:val="3"/>
  </w:num>
  <w:num w:numId="11">
    <w:abstractNumId w:val="3"/>
  </w:num>
  <w:num w:numId="12">
    <w:abstractNumId w:val="3"/>
  </w:num>
  <w:num w:numId="13">
    <w:abstractNumId w:val="3"/>
  </w:num>
  <w:num w:numId="14">
    <w:abstractNumId w:val="3"/>
    <w:lvlOverride w:ilvl="0">
      <w:startOverride w:val="1"/>
    </w:lvlOverride>
  </w:num>
  <w:num w:numId="15">
    <w:abstractNumId w:val="3"/>
  </w:num>
  <w:num w:numId="16">
    <w:abstractNumId w:val="3"/>
  </w:num>
  <w:num w:numId="17">
    <w:abstractNumId w:val="3"/>
    <w:lvlOverride w:ilvl="0">
      <w:startOverride w:val="1"/>
    </w:lvlOverride>
  </w:num>
  <w:num w:numId="18">
    <w:abstractNumId w:val="3"/>
  </w:num>
  <w:num w:numId="19">
    <w:abstractNumId w:val="3"/>
    <w:lvlOverride w:ilvl="0">
      <w:startOverride w:val="1"/>
    </w:lvlOverride>
  </w:num>
  <w:num w:numId="20">
    <w:abstractNumId w:val="3"/>
    <w:lvlOverride w:ilvl="0">
      <w:startOverride w:val="1"/>
    </w:lvlOverride>
  </w:num>
  <w:num w:numId="21">
    <w:abstractNumId w:val="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03D51"/>
    <w:rsid w:val="00007D32"/>
    <w:rsid w:val="00010057"/>
    <w:rsid w:val="000232DF"/>
    <w:rsid w:val="00027F49"/>
    <w:rsid w:val="00031DEE"/>
    <w:rsid w:val="000333FF"/>
    <w:rsid w:val="000440F4"/>
    <w:rsid w:val="0006255F"/>
    <w:rsid w:val="0006798D"/>
    <w:rsid w:val="0007436D"/>
    <w:rsid w:val="00085AA1"/>
    <w:rsid w:val="0009038D"/>
    <w:rsid w:val="00092135"/>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A1EB4"/>
    <w:rsid w:val="001B2242"/>
    <w:rsid w:val="001C0CC0"/>
    <w:rsid w:val="001C4E25"/>
    <w:rsid w:val="001D3B68"/>
    <w:rsid w:val="002113BD"/>
    <w:rsid w:val="002168DF"/>
    <w:rsid w:val="0025139E"/>
    <w:rsid w:val="0028345C"/>
    <w:rsid w:val="002B24A5"/>
    <w:rsid w:val="002B2F98"/>
    <w:rsid w:val="002B5C5A"/>
    <w:rsid w:val="002C6057"/>
    <w:rsid w:val="002C6576"/>
    <w:rsid w:val="00305238"/>
    <w:rsid w:val="003251CE"/>
    <w:rsid w:val="00337321"/>
    <w:rsid w:val="00345EED"/>
    <w:rsid w:val="00350CAC"/>
    <w:rsid w:val="003873B0"/>
    <w:rsid w:val="00394850"/>
    <w:rsid w:val="003A121D"/>
    <w:rsid w:val="003B0161"/>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B542B"/>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84DC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0927"/>
    <w:rsid w:val="00841282"/>
    <w:rsid w:val="0085292E"/>
    <w:rsid w:val="008552A3"/>
    <w:rsid w:val="008619B7"/>
    <w:rsid w:val="00881DF9"/>
    <w:rsid w:val="00882652"/>
    <w:rsid w:val="008828C8"/>
    <w:rsid w:val="008A0767"/>
    <w:rsid w:val="008E48F4"/>
    <w:rsid w:val="008F703B"/>
    <w:rsid w:val="00917386"/>
    <w:rsid w:val="009203E0"/>
    <w:rsid w:val="0093143A"/>
    <w:rsid w:val="00945BE1"/>
    <w:rsid w:val="00991528"/>
    <w:rsid w:val="009A5430"/>
    <w:rsid w:val="009B0EE6"/>
    <w:rsid w:val="009C15C4"/>
    <w:rsid w:val="009C5FFB"/>
    <w:rsid w:val="009E06E1"/>
    <w:rsid w:val="009F53F9"/>
    <w:rsid w:val="00A05391"/>
    <w:rsid w:val="00A24B0A"/>
    <w:rsid w:val="00A251A8"/>
    <w:rsid w:val="00A317A9"/>
    <w:rsid w:val="00A41149"/>
    <w:rsid w:val="00A56D57"/>
    <w:rsid w:val="00A62B53"/>
    <w:rsid w:val="00A9022D"/>
    <w:rsid w:val="00A952D3"/>
    <w:rsid w:val="00AA7266"/>
    <w:rsid w:val="00AC2247"/>
    <w:rsid w:val="00AC43AF"/>
    <w:rsid w:val="00AD0073"/>
    <w:rsid w:val="00B12297"/>
    <w:rsid w:val="00B16D95"/>
    <w:rsid w:val="00B20316"/>
    <w:rsid w:val="00B34E3C"/>
    <w:rsid w:val="00B62597"/>
    <w:rsid w:val="00B65506"/>
    <w:rsid w:val="00B779C4"/>
    <w:rsid w:val="00B93208"/>
    <w:rsid w:val="00BA6146"/>
    <w:rsid w:val="00BA696F"/>
    <w:rsid w:val="00BB531B"/>
    <w:rsid w:val="00BD4B02"/>
    <w:rsid w:val="00BF331B"/>
    <w:rsid w:val="00C00522"/>
    <w:rsid w:val="00C0372F"/>
    <w:rsid w:val="00C23009"/>
    <w:rsid w:val="00C439EC"/>
    <w:rsid w:val="00C5307B"/>
    <w:rsid w:val="00C72168"/>
    <w:rsid w:val="00C757F4"/>
    <w:rsid w:val="00C75A9D"/>
    <w:rsid w:val="00CA197C"/>
    <w:rsid w:val="00CA49B9"/>
    <w:rsid w:val="00CB19DE"/>
    <w:rsid w:val="00CB1B4A"/>
    <w:rsid w:val="00CB475B"/>
    <w:rsid w:val="00CB6CD9"/>
    <w:rsid w:val="00CC1B47"/>
    <w:rsid w:val="00CD19E3"/>
    <w:rsid w:val="00CD2116"/>
    <w:rsid w:val="00CE7AF4"/>
    <w:rsid w:val="00D06EC8"/>
    <w:rsid w:val="00D136EA"/>
    <w:rsid w:val="00D251ED"/>
    <w:rsid w:val="00D417A0"/>
    <w:rsid w:val="00D57DB5"/>
    <w:rsid w:val="00D60F2A"/>
    <w:rsid w:val="00D75DBA"/>
    <w:rsid w:val="00D831E4"/>
    <w:rsid w:val="00D95949"/>
    <w:rsid w:val="00DA419D"/>
    <w:rsid w:val="00DB2810"/>
    <w:rsid w:val="00DB29E9"/>
    <w:rsid w:val="00DC76B2"/>
    <w:rsid w:val="00DE34CF"/>
    <w:rsid w:val="00DF1112"/>
    <w:rsid w:val="00E12A9D"/>
    <w:rsid w:val="00E1605D"/>
    <w:rsid w:val="00E20AAA"/>
    <w:rsid w:val="00E32B6B"/>
    <w:rsid w:val="00E441BB"/>
    <w:rsid w:val="00E5387A"/>
    <w:rsid w:val="00E55E84"/>
    <w:rsid w:val="00E74FB9"/>
    <w:rsid w:val="00E7767D"/>
    <w:rsid w:val="00E91B44"/>
    <w:rsid w:val="00EB68B0"/>
    <w:rsid w:val="00F4190F"/>
    <w:rsid w:val="00F5077C"/>
    <w:rsid w:val="00F66B62"/>
    <w:rsid w:val="00FA5001"/>
    <w:rsid w:val="00FB1739"/>
    <w:rsid w:val="00FC2B9A"/>
    <w:rsid w:val="00FD353F"/>
    <w:rsid w:val="00FD3869"/>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