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May 9</w:t>
      </w:r>
      <w:r w:rsidR="003407ED">
        <w:t>, 2023</w:t>
      </w:r>
    </w:p>
    <w:p w:rsidR="00721E6E" w:rsidP="00721E6E">
      <w:pPr>
        <w:pStyle w:val="MeetingDetails"/>
      </w:pPr>
      <w:r>
        <w:t>1</w:t>
      </w:r>
      <w:r w:rsidR="0060336E">
        <w:t>1:00 a.m. – 2</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60336E">
        <w:t>1</w:t>
      </w:r>
      <w:r w:rsidR="00C87084">
        <w:t>1</w:t>
      </w:r>
      <w:r w:rsidRPr="00527104">
        <w:t>:00-</w:t>
      </w:r>
      <w:r w:rsidR="0060336E">
        <w:t>1</w:t>
      </w:r>
      <w:r w:rsidR="00C87084">
        <w:t>1</w:t>
      </w:r>
      <w:r w:rsidR="00721E6E">
        <w:t>:1</w:t>
      </w:r>
      <w:r w:rsidRPr="00527104">
        <w:t>0)</w:t>
      </w:r>
    </w:p>
    <w:bookmarkEnd w:id="0"/>
    <w:bookmarkEnd w:id="1"/>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056DC6" w:rsidRPr="004F5109" w:rsidP="004F5109">
      <w:pPr>
        <w:pStyle w:val="SecondaryHeading-Numbered"/>
        <w:spacing w:after="120"/>
        <w:rPr>
          <w:b w:val="0"/>
        </w:rPr>
      </w:pPr>
      <w:r>
        <w:rPr>
          <w:b w:val="0"/>
        </w:rPr>
        <w:t>PJM will break at around 12PM for lunch and resume around 1PM if there are still items to discuss.</w:t>
      </w:r>
    </w:p>
    <w:p w:rsidR="005C709B" w:rsidRPr="00DB29E9" w:rsidP="005C709B">
      <w:pPr>
        <w:pStyle w:val="PrimaryHeading"/>
        <w:spacing w:line="240" w:lineRule="auto"/>
      </w:pPr>
      <w:r>
        <w:t xml:space="preserve">RTEP </w:t>
      </w:r>
      <w:r w:rsidRPr="009B7AB5">
        <w:t>Updates</w:t>
      </w:r>
      <w:r>
        <w:t xml:space="preserve"> (</w:t>
      </w:r>
      <w:r w:rsidR="0060336E">
        <w:t>11:10-2</w:t>
      </w:r>
      <w:r>
        <w:t>:00)</w:t>
      </w:r>
    </w:p>
    <w:p w:rsidR="005C709B" w:rsidP="005C709B">
      <w:pPr>
        <w:pStyle w:val="ListSubhead1"/>
        <w:numPr>
          <w:ilvl w:val="0"/>
          <w:numId w:val="14"/>
        </w:numPr>
        <w:spacing w:after="120"/>
      </w:pPr>
      <w:r>
        <w:t>Interregional Planning</w:t>
      </w:r>
      <w:r w:rsidRPr="00B63D2E">
        <w:t xml:space="preserve"> Update </w:t>
      </w:r>
    </w:p>
    <w:p w:rsidR="005C709B" w:rsidRPr="00D53C88"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P="005C709B">
      <w:pPr>
        <w:pStyle w:val="ListSubhead1"/>
        <w:numPr>
          <w:ilvl w:val="0"/>
          <w:numId w:val="14"/>
        </w:numPr>
        <w:spacing w:after="120"/>
        <w:rPr>
          <w:b w:val="0"/>
        </w:rPr>
      </w:pPr>
      <w:r>
        <w:t>Generation Deactivation Notification</w:t>
      </w:r>
    </w:p>
    <w:p w:rsidR="005C709B" w:rsidP="005C709B">
      <w:pPr>
        <w:pStyle w:val="SecondaryHeading-Numbered"/>
        <w:numPr>
          <w:ilvl w:val="0"/>
          <w:numId w:val="0"/>
        </w:numPr>
        <w:spacing w:after="120"/>
        <w:ind w:left="360"/>
        <w:rPr>
          <w:b w:val="0"/>
        </w:rPr>
      </w:pPr>
      <w:r>
        <w:rPr>
          <w:b w:val="0"/>
        </w:rPr>
        <w:t>Phil Yum, PJM, will provide an update on Generation Deactivations</w:t>
      </w:r>
      <w:r>
        <w:rPr>
          <w:b w:val="0"/>
        </w:rPr>
        <w:t>.</w:t>
      </w:r>
    </w:p>
    <w:p w:rsidR="00062230" w:rsidRPr="00B7790E" w:rsidP="00062230">
      <w:pPr>
        <w:pStyle w:val="SecondaryHeading-Numbered"/>
        <w:spacing w:after="120"/>
        <w:rPr>
          <w:b w:val="0"/>
        </w:rPr>
      </w:pPr>
      <w:r>
        <w:t>Market Efficiency Update</w:t>
      </w:r>
    </w:p>
    <w:p w:rsidR="00062230" w:rsidRPr="00721E6E" w:rsidP="00062230">
      <w:pPr>
        <w:pStyle w:val="SecondaryHeading-Numbered"/>
        <w:numPr>
          <w:ilvl w:val="0"/>
          <w:numId w:val="0"/>
        </w:numPr>
        <w:spacing w:after="120"/>
        <w:ind w:left="360"/>
        <w:rPr>
          <w:b w:val="0"/>
        </w:rPr>
      </w:pPr>
      <w:r>
        <w:rPr>
          <w:b w:val="0"/>
        </w:rPr>
        <w:t>PJM</w:t>
      </w:r>
      <w:r>
        <w:rPr>
          <w:b w:val="0"/>
        </w:rPr>
        <w:t xml:space="preserve"> will provide an update on </w:t>
      </w:r>
      <w:r>
        <w:rPr>
          <w:b w:val="0"/>
        </w:rPr>
        <w:t>Market Efficiency</w:t>
      </w:r>
      <w:bookmarkStart w:id="2" w:name="_GoBack"/>
      <w:bookmarkEnd w:id="2"/>
      <w:r>
        <w:rPr>
          <w:b w:val="0"/>
        </w:rPr>
        <w:t>.</w:t>
      </w:r>
    </w:p>
    <w:p w:rsidR="007B32CA" w:rsidRPr="00B7790E" w:rsidP="007B32CA">
      <w:pPr>
        <w:pStyle w:val="SecondaryHeading-Numbered"/>
        <w:spacing w:after="120"/>
        <w:rPr>
          <w:b w:val="0"/>
        </w:rPr>
      </w:pPr>
      <w:r>
        <w:t>Dominion Supplemental Projects</w:t>
      </w:r>
    </w:p>
    <w:p w:rsidR="007B32CA" w:rsidP="007B32CA">
      <w:pPr>
        <w:pStyle w:val="SecondaryHeading-Numbered"/>
        <w:numPr>
          <w:ilvl w:val="0"/>
          <w:numId w:val="0"/>
        </w:numPr>
        <w:spacing w:after="120"/>
        <w:ind w:left="360"/>
        <w:rPr>
          <w:b w:val="0"/>
        </w:rPr>
      </w:pPr>
      <w:r>
        <w:rPr>
          <w:b w:val="0"/>
        </w:rPr>
        <w:t>Dominion Planning will provide an update on</w:t>
      </w:r>
      <w:r>
        <w:rPr>
          <w:b w:val="0"/>
        </w:rPr>
        <w:t xml:space="preserve"> </w:t>
      </w:r>
      <w:r>
        <w:rPr>
          <w:b w:val="0"/>
        </w:rPr>
        <w:t>supplemental projects</w:t>
      </w:r>
      <w:r>
        <w:rPr>
          <w:b w:val="0"/>
        </w:rPr>
        <w:t>.</w:t>
      </w:r>
    </w:p>
    <w:p w:rsidR="00C53ED7" w:rsidRPr="00B7790E" w:rsidP="00C53ED7">
      <w:pPr>
        <w:pStyle w:val="SecondaryHeading-Numbered"/>
        <w:spacing w:after="120"/>
        <w:rPr>
          <w:b w:val="0"/>
        </w:rPr>
      </w:pPr>
      <w:r>
        <w:t>BGE</w:t>
      </w:r>
      <w:r>
        <w:t xml:space="preserve"> Supplemental Projects</w:t>
      </w:r>
    </w:p>
    <w:p w:rsidR="00C53ED7" w:rsidP="00C53ED7">
      <w:pPr>
        <w:pStyle w:val="SecondaryHeading-Numbered"/>
        <w:numPr>
          <w:ilvl w:val="0"/>
          <w:numId w:val="0"/>
        </w:numPr>
        <w:spacing w:after="120"/>
        <w:ind w:left="360"/>
        <w:rPr>
          <w:b w:val="0"/>
        </w:rPr>
      </w:pPr>
      <w:r>
        <w:rPr>
          <w:b w:val="0"/>
        </w:rPr>
        <w:t>BGE</w:t>
      </w:r>
      <w:r>
        <w:rPr>
          <w:b w:val="0"/>
        </w:rPr>
        <w:t xml:space="preserve"> Planning will provide an update on </w:t>
      </w:r>
      <w:r w:rsidR="00683ED6">
        <w:rPr>
          <w:b w:val="0"/>
        </w:rPr>
        <w:t>supplemental projects</w:t>
      </w:r>
      <w:r>
        <w:rPr>
          <w:b w:val="0"/>
        </w:rPr>
        <w:t>.</w:t>
      </w:r>
    </w:p>
    <w:p w:rsidR="00C53ED7" w:rsidRPr="00B7790E" w:rsidP="00C53ED7">
      <w:pPr>
        <w:pStyle w:val="SecondaryHeading-Numbered"/>
        <w:spacing w:after="120"/>
        <w:rPr>
          <w:b w:val="0"/>
        </w:rPr>
      </w:pPr>
      <w:r>
        <w:t>JCPL</w:t>
      </w:r>
      <w:r>
        <w:t xml:space="preserve"> Supplemental Projects</w:t>
      </w:r>
    </w:p>
    <w:p w:rsidR="00C53ED7" w:rsidP="00C53ED7">
      <w:pPr>
        <w:pStyle w:val="SecondaryHeading-Numbered"/>
        <w:numPr>
          <w:ilvl w:val="0"/>
          <w:numId w:val="0"/>
        </w:numPr>
        <w:spacing w:after="120"/>
        <w:ind w:left="360"/>
        <w:rPr>
          <w:b w:val="0"/>
        </w:rPr>
      </w:pPr>
      <w:r>
        <w:rPr>
          <w:b w:val="0"/>
        </w:rPr>
        <w:t>JCPL</w:t>
      </w:r>
      <w:r>
        <w:rPr>
          <w:b w:val="0"/>
        </w:rPr>
        <w:t xml:space="preserve"> Planning will provide an update </w:t>
      </w:r>
      <w:r w:rsidR="00683ED6">
        <w:rPr>
          <w:b w:val="0"/>
        </w:rPr>
        <w:t>on supplemental projects</w:t>
      </w:r>
      <w:r>
        <w:rPr>
          <w:b w:val="0"/>
        </w:rPr>
        <w:t>.</w:t>
      </w:r>
    </w:p>
    <w:p w:rsidR="00F66863" w:rsidRPr="00B7790E" w:rsidP="00F66863">
      <w:pPr>
        <w:pStyle w:val="SecondaryHeading-Numbered"/>
        <w:spacing w:after="120"/>
        <w:rPr>
          <w:b w:val="0"/>
        </w:rPr>
      </w:pPr>
      <w:r>
        <w:t>PEPCO Supplemental Projects</w:t>
      </w:r>
    </w:p>
    <w:p w:rsidR="00F66863" w:rsidP="00F66863">
      <w:pPr>
        <w:pStyle w:val="SecondaryHeading-Numbered"/>
        <w:numPr>
          <w:ilvl w:val="0"/>
          <w:numId w:val="0"/>
        </w:numPr>
        <w:spacing w:after="120"/>
        <w:ind w:left="360"/>
        <w:rPr>
          <w:b w:val="0"/>
        </w:rPr>
      </w:pPr>
      <w:r>
        <w:rPr>
          <w:b w:val="0"/>
        </w:rPr>
        <w:t>PEPCO Planning will provide an update on supplemental projects.</w:t>
      </w:r>
    </w:p>
    <w:p w:rsidR="00C53ED7" w:rsidRPr="00B7790E" w:rsidP="00C53ED7">
      <w:pPr>
        <w:pStyle w:val="SecondaryHeading-Numbered"/>
        <w:spacing w:after="120"/>
        <w:rPr>
          <w:b w:val="0"/>
        </w:rPr>
      </w:pPr>
      <w:r>
        <w:t>PSEG</w:t>
      </w:r>
      <w:r>
        <w:t xml:space="preserve"> Supplemental Projects</w:t>
      </w:r>
    </w:p>
    <w:p w:rsidR="00C53ED7" w:rsidP="00C53ED7">
      <w:pPr>
        <w:pStyle w:val="SecondaryHeading-Numbered"/>
        <w:numPr>
          <w:ilvl w:val="0"/>
          <w:numId w:val="0"/>
        </w:numPr>
        <w:spacing w:after="120"/>
        <w:ind w:left="360"/>
        <w:rPr>
          <w:b w:val="0"/>
        </w:rPr>
      </w:pPr>
      <w:r>
        <w:rPr>
          <w:b w:val="0"/>
        </w:rPr>
        <w:t>PSEG</w:t>
      </w:r>
      <w:r w:rsidR="00E97036">
        <w:rPr>
          <w:b w:val="0"/>
        </w:rPr>
        <w:t xml:space="preserve"> </w:t>
      </w:r>
      <w:r>
        <w:rPr>
          <w:b w:val="0"/>
        </w:rPr>
        <w:t xml:space="preserve">Planning will provide an update </w:t>
      </w:r>
      <w:r w:rsidR="00683ED6">
        <w:rPr>
          <w:b w:val="0"/>
        </w:rPr>
        <w:t>on supplemental projects</w:t>
      </w:r>
      <w:r>
        <w:rPr>
          <w:b w:val="0"/>
        </w:rPr>
        <w:t>.</w:t>
      </w:r>
    </w:p>
    <w:p w:rsidR="00F66863" w:rsidRPr="00B7790E" w:rsidP="00F66863">
      <w:pPr>
        <w:pStyle w:val="SecondaryHeading-Numbered"/>
        <w:spacing w:after="120"/>
        <w:rPr>
          <w:b w:val="0"/>
        </w:rPr>
      </w:pPr>
      <w:r>
        <w:t>AEP Supplemental Projects</w:t>
      </w:r>
    </w:p>
    <w:p w:rsidR="00F66863" w:rsidP="00F66863">
      <w:pPr>
        <w:pStyle w:val="SecondaryHeading-Numbered"/>
        <w:numPr>
          <w:ilvl w:val="0"/>
          <w:numId w:val="0"/>
        </w:numPr>
        <w:spacing w:after="120"/>
        <w:ind w:left="360"/>
        <w:rPr>
          <w:b w:val="0"/>
        </w:rPr>
      </w:pPr>
      <w:r>
        <w:rPr>
          <w:b w:val="0"/>
        </w:rPr>
        <w:t>AEP Planning will provide an update on supplemental projects.</w:t>
      </w:r>
    </w:p>
    <w:p w:rsidR="007B32CA" w:rsidRPr="00B7790E" w:rsidP="007B32CA">
      <w:pPr>
        <w:pStyle w:val="SecondaryHeading-Numbered"/>
        <w:spacing w:after="120"/>
        <w:rPr>
          <w:b w:val="0"/>
        </w:rPr>
      </w:pPr>
      <w:r>
        <w:t>Reliability Analysis</w:t>
      </w:r>
    </w:p>
    <w:p w:rsidR="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51183A" w:rsidP="0051183A">
      <w:pPr>
        <w:pStyle w:val="ListSubhead1"/>
        <w:widowControl w:val="0"/>
        <w:numPr>
          <w:ilvl w:val="0"/>
          <w:numId w:val="0"/>
        </w:numPr>
        <w:spacing w:after="120"/>
        <w:ind w:left="720" w:hanging="360"/>
        <w:rPr>
          <w:b w:val="0"/>
        </w:rPr>
      </w:pPr>
      <w:r>
        <w:rPr>
          <w:b w:val="0"/>
        </w:rPr>
        <w:t>Open questions regarding M-3 projects received through Planning Community.</w:t>
      </w:r>
    </w:p>
    <w:p w:rsidR="00F66863" w:rsidP="00F66863">
      <w:pPr>
        <w:pStyle w:val="ListSubhead1"/>
        <w:widowControl w:val="0"/>
        <w:numPr>
          <w:ilvl w:val="0"/>
          <w:numId w:val="13"/>
        </w:numPr>
        <w:spacing w:after="120"/>
      </w:pPr>
      <w:r>
        <w:t>Informational Only – TPL-001-5 P5 Single Point of Failure Contingency Update</w:t>
      </w:r>
    </w:p>
    <w:p w:rsidR="00F66863" w:rsidP="00F66863">
      <w:pPr>
        <w:pStyle w:val="ListSubhead1"/>
        <w:widowControl w:val="0"/>
        <w:numPr>
          <w:ilvl w:val="0"/>
          <w:numId w:val="0"/>
        </w:numPr>
        <w:spacing w:after="120"/>
        <w:ind w:left="720" w:hanging="360"/>
        <w:rPr>
          <w:b w:val="0"/>
        </w:rPr>
      </w:pPr>
      <w:r w:rsidRPr="00F66863">
        <w:rPr>
          <w:b w:val="0"/>
        </w:rPr>
        <w:t>TPL-001-5 P5 Single Point of Failure Contingency Update</w:t>
      </w:r>
      <w:r>
        <w:rPr>
          <w:b w:val="0"/>
        </w:rPr>
        <w:t>.</w:t>
      </w:r>
    </w:p>
    <w:p w:rsidR="00D92FB6" w:rsidRPr="00B41C07" w:rsidP="00D92FB6">
      <w:pPr>
        <w:pStyle w:val="SecondaryHeading-Numbered"/>
        <w:numPr>
          <w:ilvl w:val="0"/>
          <w:numId w:val="0"/>
        </w:numPr>
        <w:spacing w:after="120"/>
        <w:ind w:left="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E97036" w:rsidRPr="00E97036" w:rsidP="00E97036">
            <w:pPr>
              <w:pStyle w:val="DisclaimerHeading"/>
              <w:spacing w:before="40" w:after="40" w:line="220" w:lineRule="exact"/>
              <w:jc w:val="center"/>
              <w:rPr>
                <w:b w:val="0"/>
                <w:i w:val="0"/>
                <w:color w:val="auto"/>
                <w:sz w:val="18"/>
                <w:szCs w:val="18"/>
              </w:rPr>
            </w:pPr>
            <w:r>
              <w:rPr>
                <w:b w:val="0"/>
                <w:i w:val="0"/>
                <w:color w:val="auto"/>
                <w:sz w:val="18"/>
                <w:szCs w:val="18"/>
              </w:rPr>
              <w:t>Tuesday, June 6, 2023</w:t>
            </w:r>
          </w:p>
        </w:tc>
        <w:tc>
          <w:tcPr>
            <w:tcW w:w="983" w:type="dxa"/>
            <w:tcBorders>
              <w:top w:val="single" w:sz="4" w:space="0" w:color="auto"/>
              <w:left w:val="single" w:sz="4" w:space="0" w:color="auto"/>
              <w:bottom w:val="single" w:sz="4" w:space="0" w:color="auto"/>
              <w:right w:val="single" w:sz="8" w:space="0" w:color="auto"/>
            </w:tcBorders>
          </w:tcPr>
          <w:p w:rsidR="00E97036" w:rsidP="00E97036">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E97036" w:rsidRPr="00E2594B" w:rsidP="00E97036">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E97036" w:rsidP="00E97036">
            <w:pPr>
              <w:pStyle w:val="DisclaimerHeading"/>
              <w:spacing w:before="40" w:after="40" w:line="220" w:lineRule="exact"/>
              <w:jc w:val="center"/>
              <w:rPr>
                <w:b w:val="0"/>
                <w:color w:val="auto"/>
                <w:sz w:val="18"/>
                <w:szCs w:val="18"/>
              </w:rPr>
            </w:pPr>
            <w:r>
              <w:rPr>
                <w:b w:val="0"/>
                <w:color w:val="auto"/>
                <w:sz w:val="18"/>
                <w:szCs w:val="18"/>
              </w:rPr>
              <w:t xml:space="preserve">Monday, May 29 </w:t>
            </w:r>
            <w:r>
              <w:rPr>
                <w:b w:val="0"/>
                <w:color w:val="auto"/>
                <w:sz w:val="18"/>
                <w:szCs w:val="18"/>
              </w:rPr>
              <w:t>, 2023</w:t>
            </w:r>
          </w:p>
        </w:tc>
        <w:tc>
          <w:tcPr>
            <w:tcW w:w="1694" w:type="dxa"/>
            <w:tcBorders>
              <w:top w:val="single" w:sz="4" w:space="0" w:color="auto"/>
              <w:left w:val="single" w:sz="4" w:space="0" w:color="auto"/>
              <w:bottom w:val="single" w:sz="4" w:space="0" w:color="auto"/>
              <w:right w:val="single" w:sz="4" w:space="0" w:color="auto"/>
            </w:tcBorders>
          </w:tcPr>
          <w:p w:rsidR="00E97036" w:rsidP="00E97036">
            <w:pPr>
              <w:pStyle w:val="DisclaimerHeading"/>
              <w:spacing w:before="40" w:after="40" w:line="220" w:lineRule="exact"/>
              <w:jc w:val="center"/>
              <w:rPr>
                <w:b w:val="0"/>
                <w:color w:val="auto"/>
                <w:sz w:val="18"/>
                <w:szCs w:val="18"/>
              </w:rPr>
            </w:pPr>
            <w:r>
              <w:rPr>
                <w:b w:val="0"/>
                <w:color w:val="auto"/>
                <w:sz w:val="18"/>
                <w:szCs w:val="18"/>
              </w:rPr>
              <w:t>Thursday, June 1</w:t>
            </w:r>
            <w:r>
              <w:rPr>
                <w:b w:val="0"/>
                <w:color w:val="auto"/>
                <w:sz w:val="18"/>
                <w:szCs w:val="18"/>
              </w:rPr>
              <w:t>,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C558D" w:rsidRPr="00E97036" w:rsidP="00DC558D">
            <w:pPr>
              <w:pStyle w:val="DisclaimerHeading"/>
              <w:spacing w:before="40" w:after="40" w:line="220" w:lineRule="exact"/>
              <w:jc w:val="center"/>
              <w:rPr>
                <w:b w:val="0"/>
                <w:i w:val="0"/>
                <w:color w:val="auto"/>
                <w:sz w:val="18"/>
                <w:szCs w:val="18"/>
              </w:rPr>
            </w:pPr>
            <w:r>
              <w:rPr>
                <w:b w:val="0"/>
                <w:i w:val="0"/>
                <w:color w:val="auto"/>
                <w:sz w:val="18"/>
                <w:szCs w:val="18"/>
              </w:rPr>
              <w:t>Tuesday, July 11, 2023</w:t>
            </w:r>
          </w:p>
        </w:tc>
        <w:tc>
          <w:tcPr>
            <w:tcW w:w="983" w:type="dxa"/>
            <w:tcBorders>
              <w:top w:val="single" w:sz="4" w:space="0" w:color="auto"/>
              <w:left w:val="single" w:sz="4" w:space="0" w:color="auto"/>
              <w:bottom w:val="single" w:sz="4" w:space="0" w:color="auto"/>
              <w:right w:val="single" w:sz="8"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C558D" w:rsidRPr="00E2594B" w:rsidP="00DC558D">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Monday, July 3 , 2023</w:t>
            </w:r>
          </w:p>
        </w:tc>
        <w:tc>
          <w:tcPr>
            <w:tcW w:w="1694"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Thursday, July 6,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C558D" w:rsidRPr="00E97036" w:rsidP="00DC558D">
            <w:pPr>
              <w:pStyle w:val="DisclaimerHeading"/>
              <w:spacing w:before="40" w:after="40" w:line="220" w:lineRule="exact"/>
              <w:jc w:val="center"/>
              <w:rPr>
                <w:b w:val="0"/>
                <w:i w:val="0"/>
                <w:color w:val="auto"/>
                <w:sz w:val="18"/>
                <w:szCs w:val="18"/>
              </w:rPr>
            </w:pPr>
            <w:r>
              <w:rPr>
                <w:b w:val="0"/>
                <w:i w:val="0"/>
                <w:color w:val="auto"/>
                <w:sz w:val="18"/>
                <w:szCs w:val="18"/>
              </w:rPr>
              <w:t>Tuesday, August 8, 2023</w:t>
            </w:r>
          </w:p>
        </w:tc>
        <w:tc>
          <w:tcPr>
            <w:tcW w:w="983" w:type="dxa"/>
            <w:tcBorders>
              <w:top w:val="single" w:sz="4" w:space="0" w:color="auto"/>
              <w:left w:val="single" w:sz="4" w:space="0" w:color="auto"/>
              <w:bottom w:val="single" w:sz="4" w:space="0" w:color="auto"/>
              <w:right w:val="single" w:sz="8"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C558D" w:rsidRPr="00E2594B" w:rsidP="00DC558D">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Monday, July 31 , 2023</w:t>
            </w:r>
          </w:p>
        </w:tc>
        <w:tc>
          <w:tcPr>
            <w:tcW w:w="1694"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Thursday, August 4, 2023</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223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66863">
      <w:t>May 4</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56DC6"/>
    <w:rsid w:val="00062230"/>
    <w:rsid w:val="0006798D"/>
    <w:rsid w:val="00092135"/>
    <w:rsid w:val="00097C36"/>
    <w:rsid w:val="000B2C4D"/>
    <w:rsid w:val="000B5CD5"/>
    <w:rsid w:val="000E6350"/>
    <w:rsid w:val="000E6606"/>
    <w:rsid w:val="00117AF9"/>
    <w:rsid w:val="00121F58"/>
    <w:rsid w:val="00154434"/>
    <w:rsid w:val="001548F3"/>
    <w:rsid w:val="001678E8"/>
    <w:rsid w:val="00186224"/>
    <w:rsid w:val="001B2242"/>
    <w:rsid w:val="001C0CC0"/>
    <w:rsid w:val="001C6C19"/>
    <w:rsid w:val="001D3B68"/>
    <w:rsid w:val="001D5C25"/>
    <w:rsid w:val="001F5C18"/>
    <w:rsid w:val="00210F66"/>
    <w:rsid w:val="002113BD"/>
    <w:rsid w:val="002166F1"/>
    <w:rsid w:val="00231331"/>
    <w:rsid w:val="00231D3D"/>
    <w:rsid w:val="0025139E"/>
    <w:rsid w:val="002537BC"/>
    <w:rsid w:val="0025411C"/>
    <w:rsid w:val="002555EE"/>
    <w:rsid w:val="00262069"/>
    <w:rsid w:val="00285C36"/>
    <w:rsid w:val="002A004B"/>
    <w:rsid w:val="002A029D"/>
    <w:rsid w:val="002A5560"/>
    <w:rsid w:val="002B2F98"/>
    <w:rsid w:val="002B63A3"/>
    <w:rsid w:val="002C2533"/>
    <w:rsid w:val="002C5E0A"/>
    <w:rsid w:val="002C6057"/>
    <w:rsid w:val="002D5A0E"/>
    <w:rsid w:val="002E718E"/>
    <w:rsid w:val="002F56F2"/>
    <w:rsid w:val="00305238"/>
    <w:rsid w:val="00321EDC"/>
    <w:rsid w:val="00321FF5"/>
    <w:rsid w:val="003251CE"/>
    <w:rsid w:val="00337321"/>
    <w:rsid w:val="003407ED"/>
    <w:rsid w:val="003604D4"/>
    <w:rsid w:val="00370599"/>
    <w:rsid w:val="00373C65"/>
    <w:rsid w:val="0037497F"/>
    <w:rsid w:val="00390F43"/>
    <w:rsid w:val="00394850"/>
    <w:rsid w:val="003B55E1"/>
    <w:rsid w:val="003C17E2"/>
    <w:rsid w:val="003C3320"/>
    <w:rsid w:val="003C5D2C"/>
    <w:rsid w:val="003D4A17"/>
    <w:rsid w:val="003D7E5C"/>
    <w:rsid w:val="003E0D0D"/>
    <w:rsid w:val="003E46C4"/>
    <w:rsid w:val="003E7A73"/>
    <w:rsid w:val="004003B8"/>
    <w:rsid w:val="0046043F"/>
    <w:rsid w:val="0047411C"/>
    <w:rsid w:val="00485F18"/>
    <w:rsid w:val="00491490"/>
    <w:rsid w:val="00494494"/>
    <w:rsid w:val="004969FA"/>
    <w:rsid w:val="004E026D"/>
    <w:rsid w:val="004F5109"/>
    <w:rsid w:val="00502006"/>
    <w:rsid w:val="00502469"/>
    <w:rsid w:val="0051183A"/>
    <w:rsid w:val="00527104"/>
    <w:rsid w:val="00531C84"/>
    <w:rsid w:val="005401CB"/>
    <w:rsid w:val="00563819"/>
    <w:rsid w:val="00564DEE"/>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32CA"/>
    <w:rsid w:val="007B7CAF"/>
    <w:rsid w:val="007C2954"/>
    <w:rsid w:val="007C67B3"/>
    <w:rsid w:val="007C6F39"/>
    <w:rsid w:val="007D4F70"/>
    <w:rsid w:val="007E7CAB"/>
    <w:rsid w:val="008208EA"/>
    <w:rsid w:val="008273F7"/>
    <w:rsid w:val="00832B9F"/>
    <w:rsid w:val="00837B12"/>
    <w:rsid w:val="00841282"/>
    <w:rsid w:val="008552A3"/>
    <w:rsid w:val="00882652"/>
    <w:rsid w:val="00894937"/>
    <w:rsid w:val="00895267"/>
    <w:rsid w:val="008A525D"/>
    <w:rsid w:val="00917386"/>
    <w:rsid w:val="00927302"/>
    <w:rsid w:val="00930BAE"/>
    <w:rsid w:val="00972F90"/>
    <w:rsid w:val="00981688"/>
    <w:rsid w:val="00990D82"/>
    <w:rsid w:val="00991528"/>
    <w:rsid w:val="009A5430"/>
    <w:rsid w:val="009B3A87"/>
    <w:rsid w:val="009B7AB5"/>
    <w:rsid w:val="009C15C4"/>
    <w:rsid w:val="009E3843"/>
    <w:rsid w:val="009E727E"/>
    <w:rsid w:val="009F53F9"/>
    <w:rsid w:val="009F659E"/>
    <w:rsid w:val="00A05391"/>
    <w:rsid w:val="00A244E9"/>
    <w:rsid w:val="00A317A9"/>
    <w:rsid w:val="00A41149"/>
    <w:rsid w:val="00A85E38"/>
    <w:rsid w:val="00AB70F0"/>
    <w:rsid w:val="00AC2247"/>
    <w:rsid w:val="00AE7157"/>
    <w:rsid w:val="00B16D95"/>
    <w:rsid w:val="00B20316"/>
    <w:rsid w:val="00B25DDC"/>
    <w:rsid w:val="00B32333"/>
    <w:rsid w:val="00B34E3C"/>
    <w:rsid w:val="00B41C07"/>
    <w:rsid w:val="00B47C80"/>
    <w:rsid w:val="00B62597"/>
    <w:rsid w:val="00B63499"/>
    <w:rsid w:val="00B63D2E"/>
    <w:rsid w:val="00B75B2A"/>
    <w:rsid w:val="00B7790E"/>
    <w:rsid w:val="00B90DC7"/>
    <w:rsid w:val="00BA6146"/>
    <w:rsid w:val="00BB531B"/>
    <w:rsid w:val="00BB6921"/>
    <w:rsid w:val="00BC25FF"/>
    <w:rsid w:val="00BF331B"/>
    <w:rsid w:val="00C10A93"/>
    <w:rsid w:val="00C23D3B"/>
    <w:rsid w:val="00C439EC"/>
    <w:rsid w:val="00C5307B"/>
    <w:rsid w:val="00C53ED7"/>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33D30"/>
    <w:rsid w:val="00D471E5"/>
    <w:rsid w:val="00D53C88"/>
    <w:rsid w:val="00D55ABA"/>
    <w:rsid w:val="00D571C9"/>
    <w:rsid w:val="00D821C4"/>
    <w:rsid w:val="00D831E4"/>
    <w:rsid w:val="00D92FB6"/>
    <w:rsid w:val="00D95949"/>
    <w:rsid w:val="00DA10D9"/>
    <w:rsid w:val="00DA23DE"/>
    <w:rsid w:val="00DA42DA"/>
    <w:rsid w:val="00DB29E9"/>
    <w:rsid w:val="00DC558D"/>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97036"/>
    <w:rsid w:val="00EA2C24"/>
    <w:rsid w:val="00EB68B0"/>
    <w:rsid w:val="00F4190F"/>
    <w:rsid w:val="00F5077C"/>
    <w:rsid w:val="00F66863"/>
    <w:rsid w:val="00FA2CEA"/>
    <w:rsid w:val="00FA5871"/>
    <w:rsid w:val="00FB1739"/>
    <w:rsid w:val="00FC18CE"/>
    <w:rsid w:val="00FC2B9A"/>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C837A9"/>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54FEA-6A14-4C39-A0A7-A6E93BF7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