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721E6E" w:rsidRPr="00B62597" w:rsidP="00721E6E">
      <w:pPr>
        <w:pStyle w:val="MeetingDetails"/>
      </w:pPr>
      <w:bookmarkStart w:id="0" w:name="_GoBack"/>
      <w:bookmarkEnd w:id="0"/>
      <w:r>
        <w:t>Transmission Expansion Advisory Committee</w:t>
      </w:r>
    </w:p>
    <w:p w:rsidR="00721E6E" w:rsidRPr="00B62597" w:rsidP="00721E6E">
      <w:pPr>
        <w:pStyle w:val="MeetingDetails"/>
      </w:pPr>
      <w:r>
        <w:t>WebEx</w:t>
      </w:r>
    </w:p>
    <w:p w:rsidR="00721E6E" w:rsidRPr="00B62597" w:rsidP="00721E6E">
      <w:pPr>
        <w:pStyle w:val="MeetingDetails"/>
      </w:pPr>
      <w:r>
        <w:t>April</w:t>
      </w:r>
      <w:r w:rsidR="009B3A87">
        <w:t xml:space="preserve"> </w:t>
      </w:r>
      <w:r>
        <w:t>12</w:t>
      </w:r>
      <w:r w:rsidR="00D53C88">
        <w:t>, 2022</w:t>
      </w:r>
    </w:p>
    <w:p w:rsidR="00721E6E" w:rsidP="00721E6E">
      <w:pPr>
        <w:pStyle w:val="MeetingDetails"/>
      </w:pPr>
      <w:r>
        <w:t xml:space="preserve">1:00 p.m. – 3:00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1" w:name="OLE_LINK5"/>
      <w:bookmarkStart w:id="2" w:name="OLE_LINK3"/>
      <w:r w:rsidRPr="00527104">
        <w:t>Adm</w:t>
      </w:r>
      <w:r w:rsidRPr="007C2954">
        <w:t>inistrati</w:t>
      </w:r>
      <w:r w:rsidRPr="00527104">
        <w:t>on (</w:t>
      </w:r>
      <w:r w:rsidR="00721E6E">
        <w:t>1</w:t>
      </w:r>
      <w:r w:rsidRPr="00527104">
        <w:t>:00-</w:t>
      </w:r>
      <w:r w:rsidR="00721E6E">
        <w:t>1:1</w:t>
      </w:r>
      <w:r w:rsidRPr="00527104">
        <w:t>0)</w:t>
      </w:r>
    </w:p>
    <w:bookmarkEnd w:id="1"/>
    <w:bookmarkEnd w:id="2"/>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1D3B68" w:rsidRPr="00DB29E9" w:rsidP="00B7790E">
      <w:pPr>
        <w:pStyle w:val="PrimaryHeading"/>
        <w:spacing w:line="240" w:lineRule="auto"/>
      </w:pPr>
      <w:r>
        <w:t xml:space="preserve">RTEP </w:t>
      </w:r>
      <w:r w:rsidRPr="009B7AB5">
        <w:t>Updates</w:t>
      </w:r>
      <w:r>
        <w:t xml:space="preserve"> (</w:t>
      </w:r>
      <w:r>
        <w:t>1:10-3</w:t>
      </w:r>
      <w:r>
        <w:t>:00)</w:t>
      </w:r>
    </w:p>
    <w:p w:rsidR="00D53C88" w:rsidP="00D53C88">
      <w:pPr>
        <w:pStyle w:val="ListSubhead1"/>
        <w:numPr>
          <w:ilvl w:val="0"/>
          <w:numId w:val="18"/>
        </w:numPr>
        <w:spacing w:after="120"/>
      </w:pPr>
      <w:r>
        <w:t>Interregional Planning</w:t>
      </w:r>
      <w:r w:rsidRPr="00B63D2E">
        <w:t xml:space="preserve"> Update </w:t>
      </w:r>
    </w:p>
    <w:p w:rsidR="00990D82" w:rsidRPr="00D53C88" w:rsidP="00D53C88">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721E6E" w:rsidRPr="00B47C80" w:rsidP="00B47C80">
      <w:pPr>
        <w:pStyle w:val="ListSubhead1"/>
        <w:numPr>
          <w:ilvl w:val="0"/>
          <w:numId w:val="18"/>
        </w:numPr>
        <w:spacing w:after="120"/>
        <w:rPr>
          <w:b w:val="0"/>
        </w:rPr>
      </w:pPr>
      <w:r>
        <w:t>Generation Deactivation Notification</w:t>
      </w:r>
    </w:p>
    <w:p w:rsidR="00B7790E" w:rsidRPr="00721E6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2E718E" w:rsidRPr="00B7790E" w:rsidP="002E718E">
      <w:pPr>
        <w:pStyle w:val="SecondaryHeading-Numbered"/>
        <w:spacing w:after="120"/>
        <w:rPr>
          <w:b w:val="0"/>
        </w:rPr>
      </w:pPr>
      <w:r>
        <w:t>Market Efficiency Update</w:t>
      </w:r>
    </w:p>
    <w:p w:rsidR="00B63499" w:rsidP="00B63499">
      <w:pPr>
        <w:pStyle w:val="SecondaryHeading-Numbered"/>
        <w:numPr>
          <w:ilvl w:val="0"/>
          <w:numId w:val="0"/>
        </w:numPr>
        <w:spacing w:after="120"/>
        <w:ind w:left="360"/>
        <w:rPr>
          <w:b w:val="0"/>
        </w:rPr>
      </w:pPr>
      <w:r>
        <w:rPr>
          <w:b w:val="0"/>
        </w:rPr>
        <w:t>Nick Dumitriu, PJM, will provide an update on the Market Efficiency window.</w:t>
      </w:r>
    </w:p>
    <w:p w:rsidR="002E718E" w:rsidRPr="002E718E" w:rsidP="002E718E">
      <w:pPr>
        <w:pStyle w:val="SecondaryHeading-Numbered"/>
        <w:spacing w:after="120"/>
        <w:rPr>
          <w:b w:val="0"/>
        </w:rPr>
      </w:pPr>
      <w:r>
        <w:t>AEP</w:t>
      </w:r>
      <w:r w:rsidR="00B47C80">
        <w:t xml:space="preserve"> Supplemental Projects</w:t>
      </w:r>
    </w:p>
    <w:p w:rsidR="00D33D30" w:rsidP="00D33D30">
      <w:pPr>
        <w:pStyle w:val="ListSubhead1"/>
        <w:numPr>
          <w:ilvl w:val="0"/>
          <w:numId w:val="0"/>
        </w:numPr>
        <w:ind w:left="360"/>
        <w:rPr>
          <w:b w:val="0"/>
        </w:rPr>
      </w:pPr>
      <w:r>
        <w:rPr>
          <w:b w:val="0"/>
        </w:rPr>
        <w:t>Will</w:t>
      </w:r>
      <w:r>
        <w:rPr>
          <w:b w:val="0"/>
        </w:rPr>
        <w:t xml:space="preserve"> </w:t>
      </w:r>
      <w:r>
        <w:rPr>
          <w:b w:val="0"/>
        </w:rPr>
        <w:t>Burkett</w:t>
      </w:r>
      <w:r>
        <w:rPr>
          <w:b w:val="0"/>
        </w:rPr>
        <w:t>, AEP, will present needs for supplemental projects in AEP.</w:t>
      </w:r>
    </w:p>
    <w:p w:rsidR="00D33D30" w:rsidRPr="002E718E" w:rsidP="00D33D30">
      <w:pPr>
        <w:pStyle w:val="SecondaryHeading-Numbered"/>
        <w:spacing w:after="120"/>
        <w:rPr>
          <w:b w:val="0"/>
        </w:rPr>
      </w:pPr>
      <w:r>
        <w:t>Dominion Supplemental Projects</w:t>
      </w:r>
    </w:p>
    <w:p w:rsidR="00D33D30" w:rsidP="00D33D30">
      <w:pPr>
        <w:pStyle w:val="ListSubhead1"/>
        <w:numPr>
          <w:ilvl w:val="0"/>
          <w:numId w:val="0"/>
        </w:numPr>
        <w:ind w:left="360"/>
        <w:rPr>
          <w:b w:val="0"/>
        </w:rPr>
      </w:pPr>
      <w:r>
        <w:rPr>
          <w:b w:val="0"/>
        </w:rPr>
        <w:t xml:space="preserve">Becca Ropp, Kunal Amare, and </w:t>
      </w:r>
      <w:r w:rsidR="00563819">
        <w:rPr>
          <w:b w:val="0"/>
        </w:rPr>
        <w:t>Mohsen</w:t>
      </w:r>
      <w:r w:rsidR="00E641B9">
        <w:rPr>
          <w:b w:val="0"/>
        </w:rPr>
        <w:t xml:space="preserve"> Mahoor</w:t>
      </w:r>
      <w:r>
        <w:rPr>
          <w:b w:val="0"/>
        </w:rPr>
        <w:t>, Dominion, will present needs for supplemental projects in Dominion.</w:t>
      </w:r>
    </w:p>
    <w:p w:rsidR="00D33D30" w:rsidRPr="002E718E" w:rsidP="00D33D30">
      <w:pPr>
        <w:pStyle w:val="SecondaryHeading-Numbered"/>
        <w:spacing w:after="120"/>
        <w:rPr>
          <w:b w:val="0"/>
        </w:rPr>
      </w:pPr>
      <w:r>
        <w:t>PEPCO Supplemental Projects</w:t>
      </w:r>
    </w:p>
    <w:p w:rsidR="00D33D30" w:rsidRPr="00D33D30" w:rsidP="00D33D30">
      <w:pPr>
        <w:pStyle w:val="ListSubhead1"/>
        <w:numPr>
          <w:ilvl w:val="0"/>
          <w:numId w:val="0"/>
        </w:numPr>
        <w:ind w:left="360"/>
        <w:rPr>
          <w:b w:val="0"/>
        </w:rPr>
      </w:pPr>
      <w:r>
        <w:rPr>
          <w:b w:val="0"/>
        </w:rPr>
        <w:t>Koushy Nareshkumar, PEPCO, will present needs for supplemental projects in PEPCO.</w:t>
      </w:r>
    </w:p>
    <w:p w:rsidR="009E727E" w:rsidP="009E727E">
      <w:pPr>
        <w:pStyle w:val="ListSubhead1"/>
        <w:spacing w:after="120"/>
      </w:pPr>
      <w:r>
        <w:t>NJ Offshore Wind SAA</w:t>
      </w:r>
    </w:p>
    <w:p w:rsidR="00FA5871" w:rsidRPr="009E727E" w:rsidP="00D33D30">
      <w:pPr>
        <w:pStyle w:val="SecondaryHeading-Numbered"/>
        <w:numPr>
          <w:ilvl w:val="0"/>
          <w:numId w:val="0"/>
        </w:numPr>
        <w:spacing w:after="120"/>
        <w:ind w:left="360"/>
        <w:rPr>
          <w:b w:val="0"/>
        </w:rPr>
      </w:pPr>
      <w:r>
        <w:rPr>
          <w:b w:val="0"/>
        </w:rPr>
        <w:t>Jonathan Kern</w:t>
      </w:r>
      <w:r w:rsidR="009E727E">
        <w:rPr>
          <w:b w:val="0"/>
        </w:rPr>
        <w:t>, PJM, will provide an update on the NJ Offshore Wind SAA proposal window.</w:t>
      </w:r>
    </w:p>
    <w:p w:rsidR="00B7790E" w:rsidP="00B7790E">
      <w:pPr>
        <w:pStyle w:val="ListSubhead1"/>
        <w:spacing w:after="120"/>
      </w:pPr>
      <w:r>
        <w:t>Reliability Analysis Update</w:t>
      </w:r>
    </w:p>
    <w:p w:rsidR="00E2594B" w:rsidRPr="00E2594B" w:rsidP="004F5109">
      <w:pPr>
        <w:pStyle w:val="SecondaryHeading-Numbered"/>
        <w:numPr>
          <w:ilvl w:val="0"/>
          <w:numId w:val="0"/>
        </w:numPr>
        <w:spacing w:after="120"/>
        <w:ind w:left="360"/>
        <w:rPr>
          <w:b w:val="0"/>
        </w:rPr>
      </w:pPr>
      <w:r>
        <w:rPr>
          <w:b w:val="0"/>
        </w:rPr>
        <w:t>Sami</w:t>
      </w:r>
      <w:r w:rsidRPr="006127DF" w:rsidR="00B7790E">
        <w:rPr>
          <w:b w:val="0"/>
        </w:rPr>
        <w:t xml:space="preserve"> </w:t>
      </w:r>
      <w:r>
        <w:rPr>
          <w:b w:val="0"/>
        </w:rPr>
        <w:t>Abdulsalam</w:t>
      </w:r>
      <w:r w:rsidR="00B7790E">
        <w:rPr>
          <w:b w:val="0"/>
        </w:rPr>
        <w:t>, PJM, will provide an update on the 2021 RTEP analysis.</w:t>
      </w:r>
    </w:p>
    <w:p w:rsidR="000E6350" w:rsidP="00B63499">
      <w:pPr>
        <w:pStyle w:val="PrimaryHeading"/>
        <w:spacing w:line="240" w:lineRule="auto"/>
      </w:pPr>
      <w:r>
        <w:t xml:space="preserve">Informational </w:t>
      </w:r>
      <w:r w:rsidR="001C6C19">
        <w:t>Items</w:t>
      </w:r>
    </w:p>
    <w:p w:rsidR="005A475E" w:rsidP="00B7790E">
      <w:pPr>
        <w:pStyle w:val="ListSubhead1"/>
        <w:numPr>
          <w:ilvl w:val="0"/>
          <w:numId w:val="17"/>
        </w:numPr>
        <w:spacing w:after="120"/>
      </w:pPr>
      <w:r>
        <w:t xml:space="preserve">Informational Only – </w:t>
      </w:r>
      <w:r w:rsidR="005E557C">
        <w:t>Final</w:t>
      </w:r>
      <w:r>
        <w:t xml:space="preserve"> Review </w:t>
      </w:r>
      <w:r w:rsidR="00927302">
        <w:t xml:space="preserve">and </w:t>
      </w:r>
      <w:r w:rsidR="005E557C">
        <w:t>Recommendation</w:t>
      </w:r>
      <w:r w:rsidR="00927302">
        <w:t xml:space="preserve"> 2021 RTEP Window 2 Cluster 2</w:t>
      </w:r>
    </w:p>
    <w:p w:rsidR="00B7790E" w:rsidP="00B7790E">
      <w:pPr>
        <w:pStyle w:val="ListSubhead1"/>
        <w:numPr>
          <w:ilvl w:val="0"/>
          <w:numId w:val="17"/>
        </w:numPr>
        <w:spacing w:after="120"/>
      </w:pPr>
      <w:r>
        <w:t>Informational Only – M-3 Process Needs Status</w:t>
      </w:r>
    </w:p>
    <w:p w:rsidR="00B7790E" w:rsidRPr="00D55ABA"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P="00B7790E">
      <w:pPr>
        <w:pStyle w:val="ListSubhead1"/>
        <w:widowControl w:val="0"/>
        <w:numPr>
          <w:ilvl w:val="0"/>
          <w:numId w:val="13"/>
        </w:numPr>
        <w:spacing w:after="120"/>
      </w:pPr>
      <w:r>
        <w:t>Informational Only – Aggregate Maps for Supplemental Projects</w:t>
      </w:r>
    </w:p>
    <w:p w:rsidR="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P="00B7790E">
      <w:pPr>
        <w:pStyle w:val="ListSubhead1"/>
        <w:widowControl w:val="0"/>
        <w:numPr>
          <w:ilvl w:val="0"/>
          <w:numId w:val="13"/>
        </w:numPr>
        <w:spacing w:after="120"/>
      </w:pPr>
      <w:r>
        <w:t>Informational Only – Planning Community Open Questions</w:t>
      </w:r>
    </w:p>
    <w:p w:rsidR="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FA5871" w:rsidP="00B7790E">
      <w:pPr>
        <w:pStyle w:val="ListSubhead1"/>
        <w:widowControl w:val="0"/>
        <w:numPr>
          <w:ilvl w:val="0"/>
          <w:numId w:val="13"/>
        </w:numPr>
        <w:spacing w:after="120"/>
        <w:rPr>
          <w:b w:val="0"/>
        </w:rPr>
      </w:pPr>
      <w:r>
        <w:t>Informational Only - M-3 Action Item List</w:t>
      </w:r>
    </w:p>
    <w:p w:rsidR="003C3320" w:rsidP="003C3320">
      <w:pPr>
        <w:pStyle w:val="NoListBody"/>
        <w:ind w:left="0"/>
      </w:pPr>
    </w:p>
    <w:tbl>
      <w:tblPr>
        <w:tblStyle w:val="GridTable3Accent5"/>
        <w:tblStyleRowBandSize w:val="1"/>
        <w:tblStyleColBandSize w:val="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612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3716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E2594B">
        <w:tblPrEx>
          <w:tblW w:w="9630" w:type="dxa"/>
          <w:tblInd w:w="-180" w:type="dxa"/>
          <w:tblCellMar>
            <w:top w:w="0" w:type="dxa"/>
            <w:left w:w="108" w:type="dxa"/>
            <w:bottom w:w="0" w:type="dxa"/>
            <w:right w:w="108" w:type="dxa"/>
          </w:tblCellMar>
          <w:tblLook w:val="04A0"/>
        </w:tblPrEx>
        <w:trPr>
          <w:trHeight w:val="296"/>
        </w:trPr>
        <w:tc>
          <w:tcPr>
            <w:tcW w:w="1381"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E2594B">
        <w:tblPrEx>
          <w:tblW w:w="9630" w:type="dxa"/>
          <w:tblInd w:w="-180" w:type="dxa"/>
          <w:tblCellMar>
            <w:top w:w="0" w:type="dxa"/>
            <w:left w:w="108" w:type="dxa"/>
            <w:bottom w:w="0" w:type="dxa"/>
            <w:right w:w="108" w:type="dxa"/>
          </w:tblCellMar>
          <w:tblLook w:val="04A0"/>
        </w:tblPrEx>
        <w:trPr>
          <w:trHeight w:val="331"/>
        </w:trPr>
        <w:tc>
          <w:tcPr>
            <w:tcW w:w="1381" w:type="dxa"/>
            <w:tcBorders>
              <w:top w:val="single" w:sz="4" w:space="0" w:color="auto"/>
              <w:left w:val="nil"/>
              <w:bottom w:val="single" w:sz="4" w:space="0" w:color="auto"/>
              <w:right w:val="single" w:sz="4" w:space="0" w:color="auto"/>
              <w:insideV w:val="nil"/>
            </w:tcBorders>
            <w:shd w:val="clear" w:color="auto" w:fill="E1F6FF"/>
          </w:tcPr>
          <w:p w:rsidR="00210F66" w:rsidRPr="00210F66" w:rsidP="00832B9F">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 xml:space="preserve">Tuesday, </w:t>
            </w:r>
            <w:r w:rsidR="00832B9F">
              <w:rPr>
                <w:rFonts w:ascii="Arial Narrow" w:eastAsia="Times New Roman" w:hAnsi="Arial Narrow" w:cs="Times New Roman"/>
                <w:b w:val="0"/>
                <w:i w:val="0"/>
                <w:iCs/>
                <w:color w:val="auto"/>
                <w:sz w:val="18"/>
                <w:szCs w:val="18"/>
                <w:lang w:val="en-US" w:eastAsia="en-US" w:bidi="ar-SA"/>
              </w:rPr>
              <w:t>May 10</w:t>
            </w:r>
            <w:r>
              <w:rPr>
                <w:rFonts w:ascii="Arial Narrow" w:eastAsia="Times New Roman" w:hAnsi="Arial Narrow" w:cs="Times New Roman"/>
                <w:b w:val="0"/>
                <w:i w:val="0"/>
                <w:iCs/>
                <w:color w:val="auto"/>
                <w:sz w:val="18"/>
                <w:szCs w:val="18"/>
                <w:lang w:val="en-US" w:eastAsia="en-US" w:bidi="ar-SA"/>
              </w:rPr>
              <w:t>, 2022</w:t>
            </w:r>
          </w:p>
        </w:tc>
        <w:tc>
          <w:tcPr>
            <w:tcW w:w="983" w:type="dxa"/>
            <w:tcBorders>
              <w:top w:val="single" w:sz="4" w:space="0" w:color="auto"/>
              <w:left w:val="single" w:sz="4" w:space="0" w:color="auto"/>
              <w:bottom w:val="single" w:sz="4" w:space="0" w:color="auto"/>
              <w:right w:val="single" w:sz="8" w:space="0" w:color="auto"/>
            </w:tcBorders>
          </w:tcPr>
          <w:p w:rsidR="00210F66" w:rsidP="00210F66">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P="00210F66">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E2594B">
              <w:rPr>
                <w:rFonts w:ascii="Arial Narrow" w:eastAsia="Times New Roman" w:hAnsi="Arial Narrow" w:cs="Times New Roman"/>
                <w:b w:val="0"/>
                <w:color w:val="auto"/>
                <w:sz w:val="18"/>
                <w:szCs w:val="18"/>
                <w:lang w:val="en-US" w:eastAsia="en-US" w:bidi="ar-SA"/>
              </w:rPr>
              <w:t>WebEx</w:t>
            </w:r>
          </w:p>
        </w:tc>
        <w:tc>
          <w:tcPr>
            <w:tcW w:w="1816" w:type="dxa"/>
            <w:tcBorders>
              <w:top w:val="single" w:sz="4" w:space="0" w:color="auto"/>
              <w:left w:val="single" w:sz="4" w:space="0" w:color="auto"/>
              <w:bottom w:val="single" w:sz="4" w:space="0" w:color="auto"/>
              <w:right w:val="single" w:sz="4" w:space="0" w:color="auto"/>
            </w:tcBorders>
          </w:tcPr>
          <w:p w:rsidR="00210F66" w:rsidP="00832B9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Monday</w:t>
            </w:r>
            <w:r>
              <w:rPr>
                <w:rFonts w:ascii="Arial Narrow" w:eastAsia="Times New Roman" w:hAnsi="Arial Narrow" w:cs="Times New Roman"/>
                <w:b w:val="0"/>
                <w:color w:val="auto"/>
                <w:sz w:val="18"/>
                <w:szCs w:val="18"/>
                <w:lang w:val="en-US" w:eastAsia="en-US" w:bidi="ar-SA"/>
              </w:rPr>
              <w:t xml:space="preserve">, </w:t>
            </w:r>
            <w:r w:rsidR="00832B9F">
              <w:rPr>
                <w:rFonts w:ascii="Arial Narrow" w:eastAsia="Times New Roman" w:hAnsi="Arial Narrow" w:cs="Times New Roman"/>
                <w:b w:val="0"/>
                <w:color w:val="auto"/>
                <w:sz w:val="18"/>
                <w:szCs w:val="18"/>
                <w:lang w:val="en-US" w:eastAsia="en-US" w:bidi="ar-SA"/>
              </w:rPr>
              <w:t>May</w:t>
            </w:r>
            <w:r w:rsidR="00927302">
              <w:rPr>
                <w:rFonts w:ascii="Arial Narrow" w:eastAsia="Times New Roman" w:hAnsi="Arial Narrow" w:cs="Times New Roman"/>
                <w:b w:val="0"/>
                <w:color w:val="auto"/>
                <w:sz w:val="18"/>
                <w:szCs w:val="18"/>
                <w:lang w:val="en-US" w:eastAsia="en-US" w:bidi="ar-SA"/>
              </w:rPr>
              <w:t xml:space="preserve"> 4</w:t>
            </w:r>
            <w:r>
              <w:rPr>
                <w:rFonts w:ascii="Arial Narrow" w:eastAsia="Times New Roman" w:hAnsi="Arial Narrow" w:cs="Times New Roman"/>
                <w:b w:val="0"/>
                <w:color w:val="auto"/>
                <w:sz w:val="18"/>
                <w:szCs w:val="18"/>
                <w:lang w:val="en-US" w:eastAsia="en-US" w:bidi="ar-SA"/>
              </w:rPr>
              <w:t xml:space="preserve">, </w:t>
            </w:r>
            <w:r w:rsidR="006F67DA">
              <w:rPr>
                <w:rFonts w:ascii="Arial Narrow" w:eastAsia="Times New Roman" w:hAnsi="Arial Narrow" w:cs="Times New Roman"/>
                <w:b w:val="0"/>
                <w:color w:val="auto"/>
                <w:sz w:val="18"/>
                <w:szCs w:val="18"/>
                <w:lang w:val="en-US" w:eastAsia="en-US" w:bidi="ar-SA"/>
              </w:rPr>
              <w:t>2022</w:t>
            </w:r>
          </w:p>
        </w:tc>
        <w:tc>
          <w:tcPr>
            <w:tcW w:w="1694" w:type="dxa"/>
            <w:tcBorders>
              <w:top w:val="single" w:sz="4" w:space="0" w:color="auto"/>
              <w:left w:val="single" w:sz="4" w:space="0" w:color="auto"/>
              <w:bottom w:val="single" w:sz="4" w:space="0" w:color="auto"/>
              <w:right w:val="single" w:sz="4" w:space="0" w:color="auto"/>
            </w:tcBorders>
          </w:tcPr>
          <w:p w:rsidR="00210F66" w:rsidP="00832B9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Thursday</w:t>
            </w:r>
            <w:r w:rsidR="00B47C80">
              <w:rPr>
                <w:rFonts w:ascii="Arial Narrow" w:eastAsia="Times New Roman" w:hAnsi="Arial Narrow" w:cs="Times New Roman"/>
                <w:b w:val="0"/>
                <w:color w:val="auto"/>
                <w:sz w:val="18"/>
                <w:szCs w:val="18"/>
                <w:lang w:val="en-US" w:eastAsia="en-US" w:bidi="ar-SA"/>
              </w:rPr>
              <w:t xml:space="preserve">, </w:t>
            </w:r>
            <w:r w:rsidR="00832B9F">
              <w:rPr>
                <w:rFonts w:ascii="Arial Narrow" w:eastAsia="Times New Roman" w:hAnsi="Arial Narrow" w:cs="Times New Roman"/>
                <w:b w:val="0"/>
                <w:color w:val="auto"/>
                <w:sz w:val="18"/>
                <w:szCs w:val="18"/>
                <w:lang w:val="en-US" w:eastAsia="en-US" w:bidi="ar-SA"/>
              </w:rPr>
              <w:t>May</w:t>
            </w:r>
            <w:r w:rsidR="00927302">
              <w:rPr>
                <w:rFonts w:ascii="Arial Narrow" w:eastAsia="Times New Roman" w:hAnsi="Arial Narrow" w:cs="Times New Roman"/>
                <w:b w:val="0"/>
                <w:color w:val="auto"/>
                <w:sz w:val="18"/>
                <w:szCs w:val="18"/>
                <w:lang w:val="en-US" w:eastAsia="en-US" w:bidi="ar-SA"/>
              </w:rPr>
              <w:t xml:space="preserve"> </w:t>
            </w:r>
            <w:r w:rsidR="00832B9F">
              <w:rPr>
                <w:rFonts w:ascii="Arial Narrow" w:eastAsia="Times New Roman" w:hAnsi="Arial Narrow" w:cs="Times New Roman"/>
                <w:b w:val="0"/>
                <w:color w:val="auto"/>
                <w:sz w:val="18"/>
                <w:szCs w:val="18"/>
                <w:lang w:val="en-US" w:eastAsia="en-US" w:bidi="ar-SA"/>
              </w:rPr>
              <w:t>5</w:t>
            </w:r>
            <w:r w:rsidR="00B47C80">
              <w:rPr>
                <w:rFonts w:ascii="Arial Narrow" w:eastAsia="Times New Roman" w:hAnsi="Arial Narrow" w:cs="Times New Roman"/>
                <w:b w:val="0"/>
                <w:color w:val="auto"/>
                <w:sz w:val="18"/>
                <w:szCs w:val="18"/>
                <w:lang w:val="en-US" w:eastAsia="en-US" w:bidi="ar-SA"/>
              </w:rPr>
              <w:t>, 2022</w:t>
            </w:r>
          </w:p>
        </w:tc>
      </w:tr>
    </w:tbl>
    <w:p w:rsidR="00E82FEB" w:rsidP="00E82FEB">
      <w:pPr>
        <w:pStyle w:val="DisclaimerBodyCopy"/>
      </w:pPr>
    </w:p>
    <w:p w:rsidR="00B62597" w:rsidP="00E82FEB">
      <w:pPr>
        <w:pStyle w:val="DisclaimerBodyCopy"/>
      </w:pPr>
      <w:r>
        <w:t xml:space="preserve">Author: </w:t>
      </w:r>
      <w:r w:rsidR="00AE7157">
        <w:t>Michael Zhang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847"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98290"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440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32205"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32B9F">
      <w:t>April 7</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B5CD5"/>
    <w:rsid w:val="000E6350"/>
    <w:rsid w:val="00117AF9"/>
    <w:rsid w:val="00121F58"/>
    <w:rsid w:val="001678E8"/>
    <w:rsid w:val="001B2242"/>
    <w:rsid w:val="001C0CC0"/>
    <w:rsid w:val="001C6C19"/>
    <w:rsid w:val="001D3B68"/>
    <w:rsid w:val="00210F66"/>
    <w:rsid w:val="002113BD"/>
    <w:rsid w:val="002166F1"/>
    <w:rsid w:val="00231331"/>
    <w:rsid w:val="0025139E"/>
    <w:rsid w:val="002555EE"/>
    <w:rsid w:val="00285C36"/>
    <w:rsid w:val="002A004B"/>
    <w:rsid w:val="002B2F98"/>
    <w:rsid w:val="002B63A3"/>
    <w:rsid w:val="002C2533"/>
    <w:rsid w:val="002C5E0A"/>
    <w:rsid w:val="002C6057"/>
    <w:rsid w:val="002D3215"/>
    <w:rsid w:val="002E718E"/>
    <w:rsid w:val="00305238"/>
    <w:rsid w:val="003251CE"/>
    <w:rsid w:val="00337321"/>
    <w:rsid w:val="003604D4"/>
    <w:rsid w:val="0037497F"/>
    <w:rsid w:val="00394850"/>
    <w:rsid w:val="003B55E1"/>
    <w:rsid w:val="003C17E2"/>
    <w:rsid w:val="003C3320"/>
    <w:rsid w:val="003C5D2C"/>
    <w:rsid w:val="003D7E5C"/>
    <w:rsid w:val="003E0D0D"/>
    <w:rsid w:val="003E7A73"/>
    <w:rsid w:val="0046043F"/>
    <w:rsid w:val="00485F18"/>
    <w:rsid w:val="00491490"/>
    <w:rsid w:val="00494494"/>
    <w:rsid w:val="004969FA"/>
    <w:rsid w:val="004F5109"/>
    <w:rsid w:val="00527104"/>
    <w:rsid w:val="00563819"/>
    <w:rsid w:val="00564DEE"/>
    <w:rsid w:val="0057441E"/>
    <w:rsid w:val="005A475E"/>
    <w:rsid w:val="005A5D0D"/>
    <w:rsid w:val="005D6D05"/>
    <w:rsid w:val="005E557C"/>
    <w:rsid w:val="006024A0"/>
    <w:rsid w:val="00602967"/>
    <w:rsid w:val="00606F11"/>
    <w:rsid w:val="006127DF"/>
    <w:rsid w:val="00674402"/>
    <w:rsid w:val="0067749E"/>
    <w:rsid w:val="006C738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7CAF"/>
    <w:rsid w:val="007C2954"/>
    <w:rsid w:val="007D4F70"/>
    <w:rsid w:val="007E7CAB"/>
    <w:rsid w:val="00832B9F"/>
    <w:rsid w:val="00837B12"/>
    <w:rsid w:val="00841282"/>
    <w:rsid w:val="008552A3"/>
    <w:rsid w:val="00882652"/>
    <w:rsid w:val="00917386"/>
    <w:rsid w:val="00927302"/>
    <w:rsid w:val="00972F90"/>
    <w:rsid w:val="00990D82"/>
    <w:rsid w:val="00991528"/>
    <w:rsid w:val="009A5430"/>
    <w:rsid w:val="009B3A87"/>
    <w:rsid w:val="009B7AB5"/>
    <w:rsid w:val="009C15C4"/>
    <w:rsid w:val="009E727E"/>
    <w:rsid w:val="009F53F9"/>
    <w:rsid w:val="00A05391"/>
    <w:rsid w:val="00A317A9"/>
    <w:rsid w:val="00A41149"/>
    <w:rsid w:val="00AB70F0"/>
    <w:rsid w:val="00AC2247"/>
    <w:rsid w:val="00AE7157"/>
    <w:rsid w:val="00B16D95"/>
    <w:rsid w:val="00B20316"/>
    <w:rsid w:val="00B25DDC"/>
    <w:rsid w:val="00B34E3C"/>
    <w:rsid w:val="00B47C80"/>
    <w:rsid w:val="00B62597"/>
    <w:rsid w:val="00B63499"/>
    <w:rsid w:val="00B63D2E"/>
    <w:rsid w:val="00B75B2A"/>
    <w:rsid w:val="00B7790E"/>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33D30"/>
    <w:rsid w:val="00D53C88"/>
    <w:rsid w:val="00D55ABA"/>
    <w:rsid w:val="00D831E4"/>
    <w:rsid w:val="00D95949"/>
    <w:rsid w:val="00DA23DE"/>
    <w:rsid w:val="00DB29E9"/>
    <w:rsid w:val="00DE1326"/>
    <w:rsid w:val="00DE34CF"/>
    <w:rsid w:val="00DF1112"/>
    <w:rsid w:val="00E1605D"/>
    <w:rsid w:val="00E2594B"/>
    <w:rsid w:val="00E32B6B"/>
    <w:rsid w:val="00E473CC"/>
    <w:rsid w:val="00E5387A"/>
    <w:rsid w:val="00E55E84"/>
    <w:rsid w:val="00E641B9"/>
    <w:rsid w:val="00E82FEB"/>
    <w:rsid w:val="00EB68B0"/>
    <w:rsid w:val="00F4190F"/>
    <w:rsid w:val="00F5077C"/>
    <w:rsid w:val="00FA587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2022-04-11T20:19:17Z</dcterms:created>
  <dcterms:modified xsi:type="dcterms:W3CDTF">2022-04-11T20:19:17Z</dcterms:modified>
</cp:coreProperties>
</file>