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564A92" w:rsidP="00755096">
      <w:pPr>
        <w:pStyle w:val="MeetingDetails"/>
      </w:pPr>
      <w:r w:rsidRPr="00564A92">
        <w:t xml:space="preserve">Interconnection </w:t>
      </w:r>
      <w:r w:rsidR="008D25B3">
        <w:t>Policy Workshop - Session 2</w:t>
      </w:r>
    </w:p>
    <w:p w:rsidR="00B62597" w:rsidRPr="00B62597" w:rsidRDefault="00564A92" w:rsidP="00755096">
      <w:pPr>
        <w:pStyle w:val="MeetingDetails"/>
      </w:pPr>
      <w:proofErr w:type="spellStart"/>
      <w:r>
        <w:t>Webex</w:t>
      </w:r>
      <w:proofErr w:type="spellEnd"/>
    </w:p>
    <w:p w:rsidR="00B62597" w:rsidRPr="00B62597" w:rsidRDefault="008D25B3" w:rsidP="00755096">
      <w:pPr>
        <w:pStyle w:val="MeetingDetails"/>
      </w:pPr>
      <w:r>
        <w:t>June 24</w:t>
      </w:r>
      <w:r w:rsidR="002B2F98">
        <w:t xml:space="preserve">, </w:t>
      </w:r>
      <w:r w:rsidR="0006798D">
        <w:t>2021</w:t>
      </w:r>
    </w:p>
    <w:p w:rsidR="00B62597" w:rsidRPr="00B62597" w:rsidRDefault="008D25B3" w:rsidP="00755096">
      <w:pPr>
        <w:pStyle w:val="MeetingDetails"/>
        <w:rPr>
          <w:sz w:val="28"/>
          <w:u w:val="single"/>
        </w:rPr>
      </w:pPr>
      <w:r>
        <w:t>9</w:t>
      </w:r>
      <w:r w:rsidR="002B2F98">
        <w:t xml:space="preserve">:00 </w:t>
      </w:r>
      <w:r w:rsidR="00010057">
        <w:t>a</w:t>
      </w:r>
      <w:r w:rsidR="002B2F98">
        <w:t xml:space="preserve">.m. – </w:t>
      </w:r>
      <w:r w:rsidR="00564A92">
        <w:t>12:00 p</w:t>
      </w:r>
      <w:r w:rsidR="00755096">
        <w:t>.m.</w:t>
      </w:r>
      <w:r w:rsidR="00010057">
        <w:t xml:space="preserve"> EPT</w:t>
      </w:r>
    </w:p>
    <w:p w:rsidR="00B62597" w:rsidRPr="00B62597" w:rsidRDefault="00B62597" w:rsidP="00B62597">
      <w:pPr>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8D25B3">
        <w:t>9</w:t>
      </w:r>
      <w:r w:rsidR="00564A92" w:rsidRPr="00564A92">
        <w:t>:00-</w:t>
      </w:r>
      <w:r w:rsidR="008D25B3">
        <w:t>9</w:t>
      </w:r>
      <w:r w:rsidR="00564A92" w:rsidRPr="00564A92">
        <w:t>:05</w:t>
      </w:r>
      <w:r w:rsidR="00B62597" w:rsidRPr="00527104">
        <w:t>)</w:t>
      </w:r>
    </w:p>
    <w:bookmarkEnd w:id="0"/>
    <w:bookmarkEnd w:id="1"/>
    <w:p w:rsidR="00564A92" w:rsidRDefault="00564A92" w:rsidP="00564A92">
      <w:pPr>
        <w:pStyle w:val="IndTextS"/>
        <w:widowControl w:val="0"/>
        <w:numPr>
          <w:ilvl w:val="0"/>
          <w:numId w:val="13"/>
        </w:numPr>
        <w:spacing w:before="120" w:after="200"/>
        <w:rPr>
          <w:szCs w:val="24"/>
        </w:rPr>
      </w:pPr>
      <w:r>
        <w:rPr>
          <w:szCs w:val="24"/>
        </w:rPr>
        <w:t xml:space="preserve">Jen Tribulski and Swapna Kanury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1D3B68" w:rsidRPr="00DB29E9" w:rsidRDefault="0069095D" w:rsidP="007C2954">
      <w:pPr>
        <w:pStyle w:val="PrimaryHeading"/>
      </w:pPr>
      <w:r>
        <w:t>Presentation and</w:t>
      </w:r>
      <w:r w:rsidR="004F3DBD">
        <w:t xml:space="preserve"> Panel Discussion </w:t>
      </w:r>
      <w:r w:rsidR="001D3B68">
        <w:t>(</w:t>
      </w:r>
      <w:r w:rsidR="004D5720">
        <w:t>9</w:t>
      </w:r>
      <w:r w:rsidR="00564A92">
        <w:t>:05-</w:t>
      </w:r>
      <w:r w:rsidR="004F3DBD">
        <w:t>11:5</w:t>
      </w:r>
      <w:r w:rsidR="00564A92">
        <w:t>5</w:t>
      </w:r>
      <w:r w:rsidR="001D3B68">
        <w:t>)</w:t>
      </w:r>
    </w:p>
    <w:p w:rsidR="00564A92" w:rsidRPr="00564A92" w:rsidRDefault="008D25B3" w:rsidP="00564A92">
      <w:pPr>
        <w:pStyle w:val="SecondaryHeading-Numbered"/>
        <w:numPr>
          <w:ilvl w:val="0"/>
          <w:numId w:val="0"/>
        </w:numPr>
        <w:rPr>
          <w:b w:val="0"/>
        </w:rPr>
      </w:pPr>
      <w:r>
        <w:rPr>
          <w:b w:val="0"/>
        </w:rPr>
        <w:t xml:space="preserve">Ken Seiler </w:t>
      </w:r>
      <w:r w:rsidR="00564A92">
        <w:rPr>
          <w:b w:val="0"/>
        </w:rPr>
        <w:t xml:space="preserve">will provide </w:t>
      </w:r>
      <w:r w:rsidR="004F3DBD">
        <w:rPr>
          <w:b w:val="0"/>
        </w:rPr>
        <w:t xml:space="preserve">a presentation on cost allocation today and potential alternatives.  He will moderate the panel discussion and lead stakeholder discussion on the same. </w:t>
      </w:r>
      <w:r w:rsidR="00564A92" w:rsidRPr="00564A92">
        <w:rPr>
          <w:b w:val="0"/>
        </w:rPr>
        <w:t>Panelists:</w:t>
      </w:r>
    </w:p>
    <w:p w:rsidR="00564A92" w:rsidRPr="00564A92" w:rsidRDefault="005102D5" w:rsidP="00564A92">
      <w:pPr>
        <w:pStyle w:val="SecondaryHeading-Numbered"/>
        <w:numPr>
          <w:ilvl w:val="0"/>
          <w:numId w:val="0"/>
        </w:numPr>
        <w:ind w:left="360"/>
        <w:rPr>
          <w:b w:val="0"/>
        </w:rPr>
      </w:pPr>
      <w:r>
        <w:rPr>
          <w:b w:val="0"/>
        </w:rPr>
        <w:t xml:space="preserve">Amanda R. Conner, </w:t>
      </w:r>
      <w:r w:rsidR="00564A92" w:rsidRPr="00564A92">
        <w:rPr>
          <w:b w:val="0"/>
        </w:rPr>
        <w:t>VP, FERC &amp; RTO Strategy &amp; Policy, AEP</w:t>
      </w:r>
    </w:p>
    <w:p w:rsidR="005102D5" w:rsidRDefault="005102D5" w:rsidP="005102D5">
      <w:pPr>
        <w:pStyle w:val="SecondaryHeading-Numbered"/>
        <w:numPr>
          <w:ilvl w:val="0"/>
          <w:numId w:val="0"/>
        </w:numPr>
        <w:ind w:left="360"/>
        <w:rPr>
          <w:b w:val="0"/>
        </w:rPr>
      </w:pPr>
      <w:r w:rsidRPr="00564A92">
        <w:rPr>
          <w:b w:val="0"/>
        </w:rPr>
        <w:t xml:space="preserve">Frederik (Erik) </w:t>
      </w:r>
      <w:proofErr w:type="spellStart"/>
      <w:r w:rsidRPr="00564A92">
        <w:rPr>
          <w:b w:val="0"/>
        </w:rPr>
        <w:t>Heinle</w:t>
      </w:r>
      <w:proofErr w:type="spellEnd"/>
      <w:r w:rsidRPr="00564A92">
        <w:rPr>
          <w:b w:val="0"/>
        </w:rPr>
        <w:t>, III, Assistant People’s Counsel, Office of the People’s Counsel for the District of Columbia</w:t>
      </w:r>
    </w:p>
    <w:p w:rsidR="004D5720" w:rsidRPr="005102D5" w:rsidRDefault="004D5720" w:rsidP="005102D5">
      <w:pPr>
        <w:pStyle w:val="SecondaryHeading-Numbered"/>
        <w:numPr>
          <w:ilvl w:val="0"/>
          <w:numId w:val="0"/>
        </w:numPr>
        <w:ind w:left="360"/>
        <w:rPr>
          <w:b w:val="0"/>
        </w:rPr>
      </w:pPr>
      <w:r w:rsidRPr="005102D5">
        <w:rPr>
          <w:b w:val="0"/>
        </w:rPr>
        <w:t>Gabe Tab</w:t>
      </w:r>
      <w:r w:rsidR="005552AF" w:rsidRPr="005102D5">
        <w:rPr>
          <w:b w:val="0"/>
        </w:rPr>
        <w:t>a</w:t>
      </w:r>
      <w:r w:rsidR="00F3562E" w:rsidRPr="005102D5">
        <w:rPr>
          <w:b w:val="0"/>
        </w:rPr>
        <w:t>k, Counsel for the American Clean Power Association</w:t>
      </w:r>
    </w:p>
    <w:p w:rsidR="00564A92" w:rsidRDefault="00564A92" w:rsidP="00564A92">
      <w:pPr>
        <w:pStyle w:val="SecondaryHeading-Numbered"/>
        <w:numPr>
          <w:ilvl w:val="0"/>
          <w:numId w:val="0"/>
        </w:numPr>
        <w:ind w:left="360"/>
        <w:rPr>
          <w:b w:val="0"/>
        </w:rPr>
      </w:pPr>
      <w:r w:rsidRPr="00564A92">
        <w:rPr>
          <w:b w:val="0"/>
        </w:rPr>
        <w:t>John Brodbeck, Sr. Manager Transmission, EDP Renewables</w:t>
      </w:r>
    </w:p>
    <w:p w:rsidR="00FA29C1" w:rsidRPr="00564A92" w:rsidRDefault="00FA29C1" w:rsidP="005102D5">
      <w:pPr>
        <w:pStyle w:val="SecondaryHeading-Numbered"/>
        <w:numPr>
          <w:ilvl w:val="0"/>
          <w:numId w:val="0"/>
        </w:numPr>
        <w:ind w:left="360"/>
        <w:rPr>
          <w:b w:val="0"/>
        </w:rPr>
      </w:pPr>
      <w:r>
        <w:rPr>
          <w:b w:val="0"/>
        </w:rPr>
        <w:t>Jeff Whitehead</w:t>
      </w:r>
      <w:r w:rsidR="0069095D">
        <w:rPr>
          <w:b w:val="0"/>
        </w:rPr>
        <w:t xml:space="preserve"> </w:t>
      </w:r>
      <w:r w:rsidR="0069095D" w:rsidRPr="0069095D">
        <w:rPr>
          <w:b w:val="0"/>
        </w:rPr>
        <w:t>Consultant, GT Power Group</w:t>
      </w:r>
    </w:p>
    <w:p w:rsidR="00564A92" w:rsidRPr="00564A92" w:rsidRDefault="00564A92" w:rsidP="00564A92">
      <w:pPr>
        <w:pStyle w:val="SecondaryHeading-Numbered"/>
        <w:numPr>
          <w:ilvl w:val="0"/>
          <w:numId w:val="0"/>
        </w:numPr>
        <w:ind w:left="360"/>
        <w:rPr>
          <w:b w:val="0"/>
        </w:rPr>
      </w:pPr>
      <w:r w:rsidRPr="00564A92">
        <w:rPr>
          <w:b w:val="0"/>
        </w:rPr>
        <w:t xml:space="preserve">Susan Bruce, McNees, Wallace on behalf </w:t>
      </w:r>
      <w:bookmarkStart w:id="2" w:name="_GoBack"/>
      <w:bookmarkEnd w:id="2"/>
      <w:r w:rsidRPr="00564A92">
        <w:rPr>
          <w:b w:val="0"/>
        </w:rPr>
        <w:t>of the PJM Industrial Customer Coalition</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9D7613">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564A92" w:rsidP="00564A92">
            <w:pPr>
              <w:pStyle w:val="PrimaryHeading"/>
              <w:rPr>
                <w:b/>
              </w:rPr>
            </w:pPr>
            <w:r>
              <w:rPr>
                <w:b/>
              </w:rPr>
              <w:t>Closing Remarks and Next Steps</w:t>
            </w:r>
            <w:r w:rsidR="003C3320" w:rsidRPr="0095194C">
              <w:rPr>
                <w:b/>
              </w:rPr>
              <w:t xml:space="preserve"> (</w:t>
            </w:r>
            <w:r>
              <w:rPr>
                <w:b/>
              </w:rPr>
              <w:t>11</w:t>
            </w:r>
            <w:r w:rsidR="003C3320" w:rsidRPr="0095194C">
              <w:rPr>
                <w:b/>
              </w:rPr>
              <w:t>:</w:t>
            </w:r>
            <w:r>
              <w:rPr>
                <w:b/>
              </w:rPr>
              <w:t>55-12:00</w:t>
            </w:r>
            <w:r w:rsidR="003C3320" w:rsidRPr="0095194C">
              <w:rPr>
                <w:b/>
              </w:rPr>
              <w:t>)</w:t>
            </w:r>
          </w:p>
        </w:tc>
      </w:tr>
      <w:tr w:rsidR="003C3320" w:rsidTr="009C30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rsidR="003C3320" w:rsidRDefault="00564A92" w:rsidP="00AD0A85">
            <w:pPr>
              <w:numPr>
                <w:ilvl w:val="0"/>
                <w:numId w:val="13"/>
              </w:numPr>
              <w:tabs>
                <w:tab w:val="left" w:pos="0"/>
              </w:tabs>
              <w:spacing w:before="120"/>
            </w:pPr>
            <w:r w:rsidRPr="00564A92">
              <w:rPr>
                <w:rFonts w:ascii="Arial Narrow" w:eastAsia="Times New Roman" w:hAnsi="Arial Narrow" w:cs="Times New Roman"/>
                <w:b w:val="0"/>
                <w:sz w:val="24"/>
              </w:rPr>
              <w:t>Jen Tribulski will provide closing remarks and will discuss next steps</w:t>
            </w:r>
          </w:p>
        </w:tc>
      </w:tr>
      <w:tr w:rsidR="009C3010" w:rsidTr="009C3010">
        <w:trPr>
          <w:trHeight w:val="47"/>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9C3010" w:rsidRPr="00564A92" w:rsidRDefault="009C3010" w:rsidP="009C3010">
            <w:pPr>
              <w:tabs>
                <w:tab w:val="left" w:pos="0"/>
              </w:tabs>
              <w:spacing w:before="120"/>
              <w:rPr>
                <w:rFonts w:ascii="Arial Narrow" w:eastAsia="Times New Roman" w:hAnsi="Arial Narrow" w:cs="Times New Roman"/>
                <w:b w:val="0"/>
                <w:sz w:val="24"/>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tblGrid>
      <w:tr w:rsidR="009C3010" w:rsidTr="003C332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C3010" w:rsidRPr="003C3320" w:rsidRDefault="009C3010" w:rsidP="003C3320">
            <w:pPr>
              <w:pStyle w:val="tableheading0"/>
              <w:jc w:val="left"/>
              <w:rPr>
                <w:b/>
                <w:i w:val="0"/>
              </w:rPr>
            </w:pPr>
            <w:r w:rsidRPr="003C3320">
              <w:rPr>
                <w:b/>
                <w:i w:val="0"/>
              </w:rPr>
              <w:t>Future Meeting Dates and Materials</w:t>
            </w:r>
          </w:p>
        </w:tc>
      </w:tr>
      <w:tr w:rsidR="009C301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9C3010" w:rsidRPr="00BB6921" w:rsidRDefault="009C3010" w:rsidP="009D7613">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C3010" w:rsidRPr="00BB6921" w:rsidRDefault="009C3010" w:rsidP="009D7613">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C3010" w:rsidRPr="00BB6921" w:rsidRDefault="009C3010"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r>
      <w:tr w:rsidR="009C3010" w:rsidTr="009D7613">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6" w:space="0" w:color="FFFFFF" w:themeColor="background1"/>
              <w:bottom w:val="single" w:sz="4" w:space="0" w:color="auto"/>
              <w:right w:val="single" w:sz="4" w:space="0" w:color="auto"/>
            </w:tcBorders>
            <w:shd w:val="clear" w:color="auto" w:fill="E1F6FF"/>
          </w:tcPr>
          <w:p w:rsidR="009C3010" w:rsidRPr="00BB6921" w:rsidRDefault="005102D5" w:rsidP="009D7613">
            <w:pPr>
              <w:pStyle w:val="DisclaimerHeading"/>
              <w:spacing w:before="40" w:after="40" w:line="220" w:lineRule="exact"/>
              <w:jc w:val="left"/>
              <w:rPr>
                <w:b w:val="0"/>
                <w:i w:val="0"/>
                <w:color w:val="auto"/>
                <w:sz w:val="18"/>
                <w:szCs w:val="18"/>
              </w:rPr>
            </w:pPr>
            <w:r>
              <w:rPr>
                <w:b w:val="0"/>
                <w:i w:val="0"/>
                <w:color w:val="auto"/>
                <w:sz w:val="18"/>
                <w:szCs w:val="18"/>
              </w:rPr>
              <w:t>TBD</w:t>
            </w:r>
          </w:p>
        </w:tc>
        <w:tc>
          <w:tcPr>
            <w:tcW w:w="983" w:type="dxa"/>
            <w:tcBorders>
              <w:top w:val="single" w:sz="6" w:space="0" w:color="FFFFFF" w:themeColor="background1"/>
              <w:left w:val="single" w:sz="4" w:space="0" w:color="auto"/>
              <w:bottom w:val="single" w:sz="4" w:space="0" w:color="auto"/>
              <w:right w:val="single" w:sz="8" w:space="0" w:color="auto"/>
            </w:tcBorders>
          </w:tcPr>
          <w:p w:rsidR="009C3010" w:rsidRPr="00C10A93" w:rsidRDefault="005102D5" w:rsidP="009D761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3756" w:type="dxa"/>
            <w:tcBorders>
              <w:top w:val="single" w:sz="6" w:space="0" w:color="FFFFFF" w:themeColor="background1"/>
              <w:left w:val="single" w:sz="8" w:space="0" w:color="auto"/>
              <w:bottom w:val="single" w:sz="4" w:space="0" w:color="auto"/>
              <w:right w:val="single" w:sz="8" w:space="0" w:color="auto"/>
            </w:tcBorders>
          </w:tcPr>
          <w:p w:rsidR="009C3010" w:rsidRPr="00C10A93" w:rsidRDefault="009C3010" w:rsidP="009D7613">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C10A93">
              <w:rPr>
                <w:szCs w:val="18"/>
              </w:rPr>
              <w:t>WebEx</w:t>
            </w:r>
          </w:p>
        </w:tc>
      </w:tr>
    </w:tbl>
    <w:p w:rsidR="00B62597" w:rsidRDefault="00882652" w:rsidP="00337321">
      <w:pPr>
        <w:pStyle w:val="Author"/>
      </w:pPr>
      <w:r>
        <w:t xml:space="preserve">Author: </w:t>
      </w:r>
      <w:proofErr w:type="spellStart"/>
      <w:r w:rsidR="009C3010">
        <w:t>S.Kanury</w:t>
      </w:r>
      <w:proofErr w:type="spellEnd"/>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33" w:rsidRDefault="00522333" w:rsidP="00B62597">
      <w:r>
        <w:separator/>
      </w:r>
    </w:p>
  </w:endnote>
  <w:endnote w:type="continuationSeparator" w:id="0">
    <w:p w:rsidR="00522333" w:rsidRDefault="00522333"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0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095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19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33" w:rsidRDefault="00522333" w:rsidP="00B62597">
      <w:r>
        <w:separator/>
      </w:r>
    </w:p>
  </w:footnote>
  <w:footnote w:type="continuationSeparator" w:id="0">
    <w:p w:rsidR="00522333" w:rsidRDefault="00522333"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564A9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22BF"/>
    <w:multiLevelType w:val="hybridMultilevel"/>
    <w:tmpl w:val="F8649D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B7B2C99E">
      <w:start w:val="1"/>
      <w:numFmt w:val="decimal"/>
      <w:pStyle w:val="ListParagraph"/>
      <w:lvlText w:val="%1."/>
      <w:lvlJc w:val="left"/>
      <w:pPr>
        <w:ind w:left="720" w:hanging="360"/>
      </w:pPr>
    </w:lvl>
    <w:lvl w:ilvl="1" w:tplc="C54EF61A">
      <w:start w:val="1"/>
      <w:numFmt w:val="lowerLetter"/>
      <w:lvlText w:val="%2."/>
      <w:lvlJc w:val="left"/>
      <w:pPr>
        <w:ind w:left="1440" w:hanging="360"/>
      </w:pPr>
    </w:lvl>
    <w:lvl w:ilvl="2" w:tplc="096845C8">
      <w:start w:val="1"/>
      <w:numFmt w:val="lowerRoman"/>
      <w:lvlText w:val="%3."/>
      <w:lvlJc w:val="right"/>
      <w:pPr>
        <w:ind w:left="2160" w:hanging="180"/>
      </w:pPr>
    </w:lvl>
    <w:lvl w:ilvl="3" w:tplc="8848A31A">
      <w:start w:val="1"/>
      <w:numFmt w:val="decimal"/>
      <w:lvlText w:val="%4."/>
      <w:lvlJc w:val="left"/>
      <w:pPr>
        <w:ind w:left="2880" w:hanging="360"/>
      </w:pPr>
    </w:lvl>
    <w:lvl w:ilvl="4" w:tplc="9F3AF25E">
      <w:start w:val="1"/>
      <w:numFmt w:val="lowerLetter"/>
      <w:lvlText w:val="%5."/>
      <w:lvlJc w:val="left"/>
      <w:pPr>
        <w:ind w:left="3600" w:hanging="360"/>
      </w:pPr>
    </w:lvl>
    <w:lvl w:ilvl="5" w:tplc="93D24248">
      <w:start w:val="1"/>
      <w:numFmt w:val="lowerRoman"/>
      <w:lvlText w:val="%6."/>
      <w:lvlJc w:val="right"/>
      <w:pPr>
        <w:ind w:left="4320" w:hanging="180"/>
      </w:pPr>
    </w:lvl>
    <w:lvl w:ilvl="6" w:tplc="45A41BBC">
      <w:start w:val="1"/>
      <w:numFmt w:val="decimal"/>
      <w:lvlText w:val="%7."/>
      <w:lvlJc w:val="left"/>
      <w:pPr>
        <w:ind w:left="5040" w:hanging="360"/>
      </w:pPr>
    </w:lvl>
    <w:lvl w:ilvl="7" w:tplc="3C92F632">
      <w:start w:val="1"/>
      <w:numFmt w:val="lowerLetter"/>
      <w:lvlText w:val="%8."/>
      <w:lvlJc w:val="left"/>
      <w:pPr>
        <w:ind w:left="5760" w:hanging="360"/>
      </w:pPr>
    </w:lvl>
    <w:lvl w:ilvl="8" w:tplc="A2F03998">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92135"/>
    <w:rsid w:val="000977B9"/>
    <w:rsid w:val="00117AF9"/>
    <w:rsid w:val="00121F58"/>
    <w:rsid w:val="001678E8"/>
    <w:rsid w:val="001B2242"/>
    <w:rsid w:val="001C0CC0"/>
    <w:rsid w:val="001D3B68"/>
    <w:rsid w:val="002113BD"/>
    <w:rsid w:val="002B2F98"/>
    <w:rsid w:val="002C6057"/>
    <w:rsid w:val="00305238"/>
    <w:rsid w:val="003251CE"/>
    <w:rsid w:val="00337321"/>
    <w:rsid w:val="00394850"/>
    <w:rsid w:val="003B55E1"/>
    <w:rsid w:val="003C3320"/>
    <w:rsid w:val="003D7E5C"/>
    <w:rsid w:val="003E7A73"/>
    <w:rsid w:val="0046043F"/>
    <w:rsid w:val="00491490"/>
    <w:rsid w:val="00494494"/>
    <w:rsid w:val="004969FA"/>
    <w:rsid w:val="004D5720"/>
    <w:rsid w:val="004F3DBD"/>
    <w:rsid w:val="005102D5"/>
    <w:rsid w:val="00522333"/>
    <w:rsid w:val="00527104"/>
    <w:rsid w:val="005552AF"/>
    <w:rsid w:val="00564A92"/>
    <w:rsid w:val="00564DEE"/>
    <w:rsid w:val="0057441E"/>
    <w:rsid w:val="005A5D0D"/>
    <w:rsid w:val="005D6D05"/>
    <w:rsid w:val="006024A0"/>
    <w:rsid w:val="00602967"/>
    <w:rsid w:val="00606F11"/>
    <w:rsid w:val="0069095D"/>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D25B3"/>
    <w:rsid w:val="00917386"/>
    <w:rsid w:val="00991528"/>
    <w:rsid w:val="009A5430"/>
    <w:rsid w:val="009C15C4"/>
    <w:rsid w:val="009C3010"/>
    <w:rsid w:val="009F53F9"/>
    <w:rsid w:val="00A05391"/>
    <w:rsid w:val="00A317A9"/>
    <w:rsid w:val="00A41149"/>
    <w:rsid w:val="00AC2247"/>
    <w:rsid w:val="00AD0A85"/>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3562E"/>
    <w:rsid w:val="00F4190F"/>
    <w:rsid w:val="00F5077C"/>
    <w:rsid w:val="00FA29C1"/>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47989"/>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2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171">
      <w:bodyDiv w:val="1"/>
      <w:marLeft w:val="0"/>
      <w:marRight w:val="0"/>
      <w:marTop w:val="0"/>
      <w:marBottom w:val="0"/>
      <w:divBdr>
        <w:top w:val="none" w:sz="0" w:space="0" w:color="auto"/>
        <w:left w:val="none" w:sz="0" w:space="0" w:color="auto"/>
        <w:bottom w:val="none" w:sz="0" w:space="0" w:color="auto"/>
        <w:right w:val="none" w:sz="0" w:space="0" w:color="auto"/>
      </w:divBdr>
    </w:div>
    <w:div w:id="1047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v\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(1).dotx</Template>
  <TotalTime>1</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Veronica</dc:creator>
  <cp:lastModifiedBy>Kanury, Swapna</cp:lastModifiedBy>
  <cp:revision>2</cp:revision>
  <cp:lastPrinted>2015-02-05T19:57:00Z</cp:lastPrinted>
  <dcterms:created xsi:type="dcterms:W3CDTF">2021-06-21T12:18:00Z</dcterms:created>
  <dcterms:modified xsi:type="dcterms:W3CDTF">2021-06-21T12:18:00Z</dcterms:modified>
</cp:coreProperties>
</file>