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pPr>
        <w:pStyle w:val="MeetingDetails"/>
      </w:pPr>
      <w:r>
        <w:t>Markets &amp; Reliability Committees</w:t>
      </w:r>
    </w:p>
    <w:p w:rsidR="00857EA0" w:rsidRPr="00B62597" w:rsidP="00857EA0">
      <w:pPr>
        <w:pStyle w:val="MeetingDetails"/>
      </w:pPr>
      <w:r>
        <w:t>PJM Conference and Training Center, Audubon, PA</w:t>
      </w:r>
      <w:r w:rsidRPr="004C6E71">
        <w:t xml:space="preserve"> </w:t>
      </w:r>
      <w:r>
        <w:t>/ WebEx</w:t>
      </w:r>
    </w:p>
    <w:p w:rsidR="00857EA0" w:rsidRPr="001B4664" w:rsidP="00857EA0">
      <w:pPr>
        <w:pStyle w:val="MeetingDetails"/>
      </w:pPr>
      <w:r>
        <w:t>June 27</w:t>
      </w:r>
      <w:r w:rsidRPr="001B4664" w:rsidR="00132A7B">
        <w:t>, 202</w:t>
      </w:r>
      <w:r w:rsidR="00132A7B">
        <w:t>4</w:t>
      </w:r>
    </w:p>
    <w:p w:rsidR="00857EA0" w:rsidRPr="00AE7815" w:rsidP="00857EA0">
      <w:pPr>
        <w:pStyle w:val="MeetingDetails"/>
      </w:pPr>
      <w:r w:rsidRPr="00AE7815">
        <w:t>9:00 a.m</w:t>
      </w:r>
      <w:r w:rsidRPr="00C75334">
        <w:t>. –</w:t>
      </w:r>
      <w:r w:rsidRPr="00C75334" w:rsidR="00024530">
        <w:t xml:space="preserve"> </w:t>
      </w:r>
      <w:r w:rsidR="00DD7E67">
        <w:rPr>
          <w:color w:val="FF0000"/>
        </w:rPr>
        <w:t>1:50</w:t>
      </w:r>
      <w:r w:rsidRPr="00DD7E67" w:rsidR="00AE41E2">
        <w:rPr>
          <w:color w:val="FF0000"/>
        </w:rPr>
        <w:t xml:space="preserve"> </w:t>
      </w:r>
      <w:r w:rsidRPr="00C75334" w:rsidR="004D08F2">
        <w:t>p</w:t>
      </w:r>
      <w:r w:rsidRPr="00C75334">
        <w:t>.m.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857EA0">
        <w:t>9:00-9:05</w:t>
      </w:r>
      <w:r w:rsidRPr="00527104">
        <w:t>)</w:t>
      </w:r>
    </w:p>
    <w:bookmarkEnd w:id="0"/>
    <w:bookmarkEnd w:id="1"/>
    <w:p w:rsidR="00B62597" w:rsidP="00857EA0">
      <w:pPr>
        <w:pStyle w:val="SecondaryHeading-Numbered"/>
        <w:numPr>
          <w:ilvl w:val="0"/>
          <w:numId w:val="0"/>
        </w:numPr>
        <w:spacing w:before="120"/>
        <w:ind w:left="360"/>
        <w:rPr>
          <w:b w:val="0"/>
          <w:szCs w:val="24"/>
        </w:rPr>
      </w:pPr>
      <w:r w:rsidRPr="00857EA0">
        <w:rPr>
          <w:b w:val="0"/>
          <w:szCs w:val="24"/>
        </w:rPr>
        <w:t xml:space="preserve">Welcome, announcements and Anti-trust, Code of Conduct, and Public Meetings/Media Participation – </w:t>
      </w:r>
      <w:r>
        <w:rPr>
          <w:b w:val="0"/>
          <w:szCs w:val="24"/>
        </w:rPr>
        <w:t>Lisa Drauschak</w:t>
      </w:r>
      <w:r w:rsidRPr="00857EA0">
        <w:rPr>
          <w:b w:val="0"/>
          <w:szCs w:val="24"/>
        </w:rPr>
        <w:t xml:space="preserve"> and Dave Anders  </w:t>
      </w:r>
    </w:p>
    <w:p w:rsidR="00857EA0" w:rsidRPr="00DB29E9" w:rsidP="00857EA0">
      <w:pPr>
        <w:pStyle w:val="PrimaryHeading"/>
        <w:spacing w:before="120" w:after="200"/>
      </w:pPr>
      <w:r>
        <w:t>Consent Agenda (9:05-9:10)</w:t>
      </w:r>
    </w:p>
    <w:p w:rsidR="00857EA0" w:rsidP="003753A1">
      <w:pPr>
        <w:pStyle w:val="SecondaryHeading-Numbered"/>
        <w:numPr>
          <w:ilvl w:val="0"/>
          <w:numId w:val="3"/>
        </w:numPr>
        <w:spacing w:before="120"/>
        <w:rPr>
          <w:szCs w:val="24"/>
        </w:rPr>
      </w:pPr>
      <w:r w:rsidRPr="00A05D00">
        <w:rPr>
          <w:szCs w:val="24"/>
          <w:u w:val="single"/>
        </w:rPr>
        <w:t>Approve</w:t>
      </w:r>
      <w:r w:rsidRPr="00E01E4B">
        <w:rPr>
          <w:szCs w:val="24"/>
        </w:rPr>
        <w:t xml:space="preserve"> </w:t>
      </w:r>
      <w:r w:rsidRPr="00857EA0">
        <w:rPr>
          <w:b w:val="0"/>
          <w:szCs w:val="24"/>
        </w:rPr>
        <w:t xml:space="preserve">minutes of the </w:t>
      </w:r>
      <w:r w:rsidR="004D08F2">
        <w:rPr>
          <w:b w:val="0"/>
          <w:szCs w:val="24"/>
        </w:rPr>
        <w:t>May 22</w:t>
      </w:r>
      <w:r w:rsidR="00F47890">
        <w:rPr>
          <w:b w:val="0"/>
        </w:rPr>
        <w:t>, 2024</w:t>
      </w:r>
      <w:r w:rsidRPr="00857EA0">
        <w:rPr>
          <w:b w:val="0"/>
          <w:szCs w:val="24"/>
        </w:rPr>
        <w:t xml:space="preserve"> meeting of the Markets and Reliability Committee</w:t>
      </w:r>
      <w:r w:rsidR="0050064E">
        <w:rPr>
          <w:b w:val="0"/>
          <w:szCs w:val="24"/>
        </w:rPr>
        <w:t xml:space="preserve"> (MRC)</w:t>
      </w:r>
      <w:r>
        <w:rPr>
          <w:szCs w:val="24"/>
        </w:rPr>
        <w:t>.</w:t>
      </w:r>
    </w:p>
    <w:p w:rsidR="004D08F2" w:rsidP="003753A1">
      <w:pPr>
        <w:pStyle w:val="SecondaryHeading-Numbered"/>
        <w:numPr>
          <w:ilvl w:val="0"/>
          <w:numId w:val="3"/>
        </w:numPr>
        <w:spacing w:before="120" w:after="0"/>
        <w:rPr>
          <w:b w:val="0"/>
          <w:szCs w:val="24"/>
        </w:rPr>
      </w:pPr>
      <w:r w:rsidRPr="004D08F2">
        <w:rPr>
          <w:szCs w:val="24"/>
          <w:u w:val="single"/>
        </w:rPr>
        <w:t>Endorse</w:t>
      </w:r>
      <w:r>
        <w:rPr>
          <w:szCs w:val="24"/>
        </w:rPr>
        <w:t xml:space="preserve"> </w:t>
      </w:r>
      <w:r w:rsidRPr="004D08F2">
        <w:rPr>
          <w:b w:val="0"/>
          <w:szCs w:val="24"/>
        </w:rPr>
        <w:t xml:space="preserve">proposed revisions to Manual 18: PJM Capacity Market conforming to FERC Order ER24-99 </w:t>
      </w:r>
      <w:r w:rsidR="004A77CF">
        <w:rPr>
          <w:b w:val="0"/>
          <w:szCs w:val="24"/>
        </w:rPr>
        <w:t xml:space="preserve">resulting from the Critical Issue Fast Path (CIFP) process </w:t>
      </w:r>
      <w:r w:rsidRPr="004D08F2">
        <w:rPr>
          <w:b w:val="0"/>
          <w:szCs w:val="24"/>
        </w:rPr>
        <w:t xml:space="preserve">and the approved solution for the Local Considerations for Net Cost of New Entry. </w:t>
      </w:r>
    </w:p>
    <w:p w:rsidR="004D08F2" w:rsidP="003753A1">
      <w:pPr>
        <w:pStyle w:val="SecondaryHeading-Numbered"/>
        <w:numPr>
          <w:ilvl w:val="0"/>
          <w:numId w:val="0"/>
        </w:numPr>
        <w:spacing w:after="0"/>
        <w:ind w:left="720"/>
        <w:rPr>
          <w:b w:val="0"/>
        </w:rPr>
      </w:pPr>
      <w:hyperlink r:id="rId4" w:history="1">
        <w:r w:rsidRPr="00C97B37" w:rsidR="00355E5A">
          <w:rPr>
            <w:rStyle w:val="Hyperlink"/>
            <w:b w:val="0"/>
          </w:rPr>
          <w:t>Issue Tracking: CIFP Resource Adequacy</w:t>
        </w:r>
      </w:hyperlink>
    </w:p>
    <w:p w:rsidR="004D08F2" w:rsidP="003753A1">
      <w:pPr>
        <w:pStyle w:val="SecondaryHeading-Numbered"/>
        <w:numPr>
          <w:ilvl w:val="0"/>
          <w:numId w:val="0"/>
        </w:numPr>
        <w:ind w:left="720"/>
        <w:rPr>
          <w:rStyle w:val="Hyperlink"/>
          <w:b w:val="0"/>
        </w:rPr>
      </w:pPr>
      <w:hyperlink r:id="rId5" w:history="1">
        <w:r w:rsidRPr="00C97B37" w:rsidR="00355E5A">
          <w:rPr>
            <w:rStyle w:val="Hyperlink"/>
            <w:b w:val="0"/>
          </w:rPr>
          <w:t>Issue Tracking: Local Considerations for Net Cost of New Entry</w:t>
        </w:r>
      </w:hyperlink>
    </w:p>
    <w:p w:rsidR="004D08F2" w:rsidRPr="004D08F2" w:rsidP="003753A1">
      <w:pPr>
        <w:pStyle w:val="SecondaryHeading-Numbered"/>
        <w:numPr>
          <w:ilvl w:val="0"/>
          <w:numId w:val="3"/>
        </w:numPr>
        <w:spacing w:before="120" w:after="0"/>
        <w:rPr>
          <w:b w:val="0"/>
          <w:szCs w:val="24"/>
        </w:rPr>
      </w:pPr>
      <w:r w:rsidRPr="004D08F2">
        <w:rPr>
          <w:szCs w:val="24"/>
          <w:u w:val="single"/>
        </w:rPr>
        <w:t>Endorse</w:t>
      </w:r>
      <w:r>
        <w:rPr>
          <w:b w:val="0"/>
          <w:szCs w:val="24"/>
        </w:rPr>
        <w:t xml:space="preserve"> </w:t>
      </w:r>
      <w:r w:rsidRPr="00933430">
        <w:rPr>
          <w:b w:val="0"/>
        </w:rPr>
        <w:t>proposed revisions to Manuals 14B: PJM Region Transmission Planning Process, 20: PJM Resource Adequacy Analysis, 20A: Resource Adequacy Analysis, 21: Rules and Procedures for Determination of Generating Capability, 21A: Determination of Accredited UCAP Using Effective Load Carrying Capability Analysis,</w:t>
      </w:r>
      <w:r w:rsidRPr="004D08F2">
        <w:rPr>
          <w:b w:val="0"/>
        </w:rPr>
        <w:t xml:space="preserve"> and 21B: Rules and Procedures for Determination of Generating Capability conforming to FERC Order ER24-99</w:t>
      </w:r>
      <w:r w:rsidR="004A77CF">
        <w:rPr>
          <w:b w:val="0"/>
        </w:rPr>
        <w:t xml:space="preserve"> </w:t>
      </w:r>
      <w:r w:rsidR="004A77CF">
        <w:rPr>
          <w:b w:val="0"/>
          <w:szCs w:val="24"/>
        </w:rPr>
        <w:t>resulting from the Critical Issue Fast Path (CIFP) process</w:t>
      </w:r>
      <w:r w:rsidRPr="004D08F2">
        <w:rPr>
          <w:b w:val="0"/>
        </w:rPr>
        <w:t xml:space="preserve">.  </w:t>
      </w:r>
    </w:p>
    <w:p w:rsidR="004D08F2" w:rsidRPr="00705E88" w:rsidP="003753A1">
      <w:pPr>
        <w:pStyle w:val="SecondaryHeading-Numbered"/>
        <w:numPr>
          <w:ilvl w:val="0"/>
          <w:numId w:val="0"/>
        </w:numPr>
        <w:ind w:left="720"/>
        <w:rPr>
          <w:b w:val="0"/>
        </w:rPr>
      </w:pPr>
      <w:hyperlink r:id="rId4" w:history="1">
        <w:r w:rsidRPr="00C97B37" w:rsidR="00355E5A">
          <w:rPr>
            <w:rStyle w:val="Hyperlink"/>
            <w:b w:val="0"/>
          </w:rPr>
          <w:t>Issue Tracking: CIFP Resource Adequacy</w:t>
        </w:r>
      </w:hyperlink>
    </w:p>
    <w:p w:rsidR="001D3B68" w:rsidRPr="00523993" w:rsidP="007C2954">
      <w:pPr>
        <w:pStyle w:val="PrimaryHeading"/>
        <w:rPr>
          <w:b w:val="0"/>
          <w:color w:val="FF0000"/>
        </w:rPr>
      </w:pPr>
      <w:r>
        <w:t xml:space="preserve">Endorsements </w:t>
      </w:r>
      <w:r w:rsidR="00915FA7">
        <w:t>(9</w:t>
      </w:r>
      <w:r w:rsidRPr="00AE7815" w:rsidR="00915FA7">
        <w:t>:10-</w:t>
      </w:r>
      <w:r w:rsidR="00C75334">
        <w:t>9:3</w:t>
      </w:r>
      <w:r w:rsidR="00705E88">
        <w:t>0</w:t>
      </w:r>
      <w:r w:rsidRPr="00AE7815" w:rsidR="00614326">
        <w:t>)</w:t>
      </w:r>
    </w:p>
    <w:p w:rsidR="00861522" w:rsidRPr="00EA6EAD" w:rsidP="00861522">
      <w:pPr>
        <w:pStyle w:val="SecondaryHeading-Numbered"/>
        <w:rPr>
          <w:b w:val="0"/>
          <w:u w:val="single"/>
        </w:rPr>
      </w:pPr>
      <w:r w:rsidRPr="00EA6EAD">
        <w:rPr>
          <w:b w:val="0"/>
          <w:u w:val="single"/>
        </w:rPr>
        <w:t>Electric Gas Coordination (</w:t>
      </w:r>
      <w:r w:rsidR="00705E88">
        <w:rPr>
          <w:b w:val="0"/>
          <w:u w:val="single"/>
        </w:rPr>
        <w:t>9</w:t>
      </w:r>
      <w:r w:rsidR="00C75334">
        <w:rPr>
          <w:b w:val="0"/>
          <w:u w:val="single"/>
        </w:rPr>
        <w:t>:10-9:3</w:t>
      </w:r>
      <w:r w:rsidR="00705E88">
        <w:rPr>
          <w:b w:val="0"/>
          <w:u w:val="single"/>
        </w:rPr>
        <w:t>0</w:t>
      </w:r>
      <w:r w:rsidRPr="00EA6EAD">
        <w:rPr>
          <w:b w:val="0"/>
          <w:u w:val="single"/>
        </w:rPr>
        <w:t xml:space="preserve">) </w:t>
      </w:r>
    </w:p>
    <w:p w:rsidR="00861522" w:rsidRPr="00861522" w:rsidP="00861522">
      <w:pPr>
        <w:pStyle w:val="ListSubhead1"/>
        <w:numPr>
          <w:ilvl w:val="0"/>
          <w:numId w:val="0"/>
        </w:numPr>
        <w:spacing w:before="120" w:after="0"/>
        <w:ind w:left="360"/>
      </w:pPr>
      <w:r>
        <w:rPr>
          <w:b w:val="0"/>
        </w:rPr>
        <w:t xml:space="preserve">Susan McGill will review the proposed solution endorsed by the </w:t>
      </w:r>
      <w:r w:rsidR="002421F8">
        <w:rPr>
          <w:b w:val="0"/>
        </w:rPr>
        <w:t>Electric Gas Coordination Senior Task Force (</w:t>
      </w:r>
      <w:r>
        <w:rPr>
          <w:b w:val="0"/>
        </w:rPr>
        <w:t>EGCSTF</w:t>
      </w:r>
      <w:r w:rsidR="002421F8">
        <w:rPr>
          <w:b w:val="0"/>
        </w:rPr>
        <w:t>)</w:t>
      </w:r>
      <w:r>
        <w:rPr>
          <w:b w:val="0"/>
        </w:rPr>
        <w:t xml:space="preserve"> and corresponding revisions to Manual 11: </w:t>
      </w:r>
      <w:r w:rsidRPr="008D5CDB">
        <w:rPr>
          <w:b w:val="0"/>
        </w:rPr>
        <w:t>Energy &amp; Ancillary Services Market Operations</w:t>
      </w:r>
      <w:r>
        <w:rPr>
          <w:b w:val="0"/>
        </w:rPr>
        <w:t xml:space="preserve"> and M</w:t>
      </w:r>
      <w:r w:rsidR="002421F8">
        <w:rPr>
          <w:b w:val="0"/>
        </w:rPr>
        <w:t xml:space="preserve">anual 13: </w:t>
      </w:r>
      <w:r>
        <w:rPr>
          <w:b w:val="0"/>
        </w:rPr>
        <w:t xml:space="preserve">Emergency Operations. </w:t>
      </w:r>
      <w:r w:rsidRPr="00861522">
        <w:t>The committee will be asked to endorse the proposed solution and corresponding Manual revisions</w:t>
      </w:r>
      <w:r w:rsidR="002421F8">
        <w:t xml:space="preserve"> at this meeting</w:t>
      </w:r>
      <w:r w:rsidRPr="00861522">
        <w:t xml:space="preserve">.   </w:t>
      </w:r>
    </w:p>
    <w:p w:rsidR="00861522" w:rsidP="00705E88">
      <w:pPr>
        <w:pStyle w:val="ListSubhead1"/>
        <w:numPr>
          <w:ilvl w:val="0"/>
          <w:numId w:val="0"/>
        </w:numPr>
        <w:tabs>
          <w:tab w:val="clear" w:pos="0"/>
        </w:tabs>
        <w:ind w:left="360"/>
        <w:rPr>
          <w:rStyle w:val="Hyperlink"/>
          <w:b w:val="0"/>
        </w:rPr>
      </w:pPr>
      <w:hyperlink r:id="rId6" w:history="1">
        <w:r w:rsidRPr="008D5CDB" w:rsidR="00355E5A">
          <w:rPr>
            <w:rStyle w:val="Hyperlink"/>
            <w:b w:val="0"/>
          </w:rPr>
          <w:t>Issue Tracking: Natural Gas and Electric Market Coordination</w:t>
        </w:r>
      </w:hyperlink>
    </w:p>
    <w:p w:rsidR="000E74CB" w:rsidRPr="00031DE7" w:rsidP="00031DE7">
      <w:pPr>
        <w:pStyle w:val="PrimaryHeading"/>
        <w:rPr>
          <w:color w:val="FF0000"/>
        </w:rPr>
      </w:pPr>
      <w:r>
        <w:t xml:space="preserve">First </w:t>
      </w:r>
      <w:r w:rsidRPr="00AE7815">
        <w:t>Readings</w:t>
      </w:r>
      <w:r w:rsidRPr="00AE7815" w:rsidR="00606F11">
        <w:t xml:space="preserve"> </w:t>
      </w:r>
      <w:r w:rsidRPr="00AE7815" w:rsidR="001D3B68">
        <w:t>(</w:t>
      </w:r>
      <w:r w:rsidR="00C75334">
        <w:t>9:3</w:t>
      </w:r>
      <w:r w:rsidR="002421F8">
        <w:t>0-</w:t>
      </w:r>
      <w:r w:rsidR="00E72E40">
        <w:t>11:50</w:t>
      </w:r>
      <w:r w:rsidRPr="005A3B8F" w:rsidR="001D3B68">
        <w:t>)</w:t>
      </w:r>
    </w:p>
    <w:p w:rsidR="002421F8" w:rsidP="002421F8">
      <w:pPr>
        <w:pStyle w:val="SecondaryHeading-Numbered"/>
        <w:rPr>
          <w:b w:val="0"/>
          <w:u w:val="single"/>
        </w:rPr>
      </w:pPr>
      <w:r w:rsidRPr="002421F8">
        <w:rPr>
          <w:b w:val="0"/>
          <w:u w:val="single"/>
        </w:rPr>
        <w:t>Enhanced Know Your Customer (KYC)</w:t>
      </w:r>
      <w:r>
        <w:rPr>
          <w:b w:val="0"/>
          <w:u w:val="single"/>
        </w:rPr>
        <w:t xml:space="preserve"> (</w:t>
      </w:r>
      <w:r w:rsidR="00031DE7">
        <w:rPr>
          <w:b w:val="0"/>
          <w:u w:val="single"/>
        </w:rPr>
        <w:t>9:30</w:t>
      </w:r>
      <w:r w:rsidR="00C75334">
        <w:rPr>
          <w:b w:val="0"/>
          <w:u w:val="single"/>
        </w:rPr>
        <w:t>-</w:t>
      </w:r>
      <w:r w:rsidR="00031DE7">
        <w:rPr>
          <w:b w:val="0"/>
          <w:u w:val="single"/>
        </w:rPr>
        <w:t>9:55</w:t>
      </w:r>
      <w:r>
        <w:rPr>
          <w:b w:val="0"/>
          <w:u w:val="single"/>
        </w:rPr>
        <w:t xml:space="preserve">) </w:t>
      </w:r>
    </w:p>
    <w:p w:rsidR="002421F8" w:rsidP="002421F8">
      <w:pPr>
        <w:pStyle w:val="SecondaryHeading-Numbered"/>
        <w:numPr>
          <w:ilvl w:val="0"/>
          <w:numId w:val="0"/>
        </w:numPr>
        <w:spacing w:before="120" w:after="0"/>
        <w:ind w:left="360"/>
        <w:rPr>
          <w:b w:val="0"/>
        </w:rPr>
      </w:pPr>
      <w:r>
        <w:rPr>
          <w:b w:val="0"/>
        </w:rPr>
        <w:t>Anita</w:t>
      </w:r>
      <w:r w:rsidRPr="002421F8">
        <w:rPr>
          <w:b w:val="0"/>
        </w:rPr>
        <w:t xml:space="preserve"> Patel and Eric Scherling will review </w:t>
      </w:r>
      <w:r>
        <w:rPr>
          <w:b w:val="0"/>
        </w:rPr>
        <w:t xml:space="preserve">a proposed solution and corresponding Tariff revisions addressing KYC enhancements as endorsed by the Risk Management Committee (RMC). The committee will be asked to endorse the proposed solution and corresponding Tariff revisions at its next meeting.   </w:t>
      </w:r>
    </w:p>
    <w:p w:rsidR="002421F8" w:rsidP="002421F8">
      <w:pPr>
        <w:pStyle w:val="SecondaryHeading-Numbered"/>
        <w:numPr>
          <w:ilvl w:val="0"/>
          <w:numId w:val="0"/>
        </w:numPr>
        <w:ind w:left="360"/>
        <w:rPr>
          <w:b w:val="0"/>
        </w:rPr>
      </w:pPr>
      <w:hyperlink r:id="rId7" w:history="1">
        <w:r w:rsidRPr="002421F8" w:rsidR="00355E5A">
          <w:rPr>
            <w:rStyle w:val="Hyperlink"/>
            <w:b w:val="0"/>
          </w:rPr>
          <w:t>Issue Tracking: Enhanced Know Your Customer (KYC)</w:t>
        </w:r>
      </w:hyperlink>
    </w:p>
    <w:p w:rsidR="00A90DED" w:rsidRPr="00A90DED" w:rsidP="00A90DED">
      <w:pPr>
        <w:pStyle w:val="SecondaryHeading-Numbered"/>
        <w:rPr>
          <w:b w:val="0"/>
          <w:u w:val="single"/>
        </w:rPr>
      </w:pPr>
      <w:r w:rsidRPr="00A90DED">
        <w:rPr>
          <w:b w:val="0"/>
          <w:u w:val="single"/>
        </w:rPr>
        <w:t xml:space="preserve">Performance Impact of the Multi-Schedule Model </w:t>
      </w:r>
      <w:r w:rsidR="002A55A3">
        <w:rPr>
          <w:b w:val="0"/>
          <w:u w:val="single"/>
        </w:rPr>
        <w:t xml:space="preserve">in the Market Clearing Engine </w:t>
      </w:r>
      <w:r w:rsidRPr="00A90DED">
        <w:rPr>
          <w:b w:val="0"/>
          <w:u w:val="single"/>
        </w:rPr>
        <w:t>(</w:t>
      </w:r>
      <w:r w:rsidR="002A55A3">
        <w:rPr>
          <w:b w:val="0"/>
          <w:u w:val="single"/>
        </w:rPr>
        <w:t>MCE</w:t>
      </w:r>
      <w:r w:rsidRPr="00A90DED">
        <w:rPr>
          <w:b w:val="0"/>
          <w:u w:val="single"/>
        </w:rPr>
        <w:t xml:space="preserve">) </w:t>
      </w:r>
      <w:r w:rsidR="002A55A3">
        <w:rPr>
          <w:b w:val="0"/>
          <w:u w:val="single"/>
        </w:rPr>
        <w:t>(</w:t>
      </w:r>
      <w:r w:rsidR="00E72E40">
        <w:rPr>
          <w:b w:val="0"/>
          <w:u w:val="single"/>
        </w:rPr>
        <w:t>9:55-10:40)</w:t>
      </w:r>
    </w:p>
    <w:p w:rsidR="00A90DED" w:rsidP="002A55A3">
      <w:pPr>
        <w:pStyle w:val="ListSubhead1"/>
        <w:numPr>
          <w:ilvl w:val="2"/>
          <w:numId w:val="2"/>
        </w:numPr>
        <w:spacing w:before="120" w:after="0"/>
        <w:ind w:left="720" w:hanging="360"/>
        <w:rPr>
          <w:b w:val="0"/>
        </w:rPr>
      </w:pPr>
      <w:r w:rsidRPr="002A55A3">
        <w:rPr>
          <w:b w:val="0"/>
        </w:rPr>
        <w:t xml:space="preserve">Keyur Patel will </w:t>
      </w:r>
      <w:r w:rsidR="002A55A3">
        <w:rPr>
          <w:b w:val="0"/>
        </w:rPr>
        <w:t>r</w:t>
      </w:r>
      <w:r w:rsidR="00F15A5F">
        <w:rPr>
          <w:b w:val="0"/>
        </w:rPr>
        <w:t>eview the</w:t>
      </w:r>
      <w:r w:rsidR="002A55A3">
        <w:rPr>
          <w:b w:val="0"/>
        </w:rPr>
        <w:t xml:space="preserve"> </w:t>
      </w:r>
      <w:r w:rsidR="00F15A5F">
        <w:rPr>
          <w:b w:val="0"/>
        </w:rPr>
        <w:t xml:space="preserve">previously </w:t>
      </w:r>
      <w:r w:rsidR="002A55A3">
        <w:rPr>
          <w:b w:val="0"/>
        </w:rPr>
        <w:t xml:space="preserve">proposed </w:t>
      </w:r>
      <w:r w:rsidR="00F15A5F">
        <w:rPr>
          <w:b w:val="0"/>
        </w:rPr>
        <w:t xml:space="preserve">Package B (PJM/GT Power Group) </w:t>
      </w:r>
      <w:r w:rsidR="002A55A3">
        <w:rPr>
          <w:b w:val="0"/>
        </w:rPr>
        <w:t>solution addressing the performance impact of the multi-schedule model on the Market Clearing Engine</w:t>
      </w:r>
      <w:r w:rsidRPr="002A55A3">
        <w:rPr>
          <w:b w:val="0"/>
        </w:rPr>
        <w:t xml:space="preserve">. </w:t>
      </w:r>
    </w:p>
    <w:p w:rsidR="002A55A3" w:rsidRPr="002A55A3" w:rsidP="002A55A3">
      <w:pPr>
        <w:pStyle w:val="ListSubhead1"/>
        <w:numPr>
          <w:ilvl w:val="2"/>
          <w:numId w:val="2"/>
        </w:numPr>
        <w:spacing w:before="120" w:after="0"/>
        <w:ind w:left="720" w:hanging="360"/>
        <w:rPr>
          <w:b w:val="0"/>
        </w:rPr>
      </w:pPr>
      <w:r w:rsidRPr="00412222">
        <w:rPr>
          <w:b w:val="0"/>
        </w:rPr>
        <w:t>Adrien Ford, Constellation Generation,</w:t>
      </w:r>
      <w:r>
        <w:rPr>
          <w:b w:val="0"/>
        </w:rPr>
        <w:t xml:space="preserve"> will move and Lyn</w:t>
      </w:r>
      <w:r w:rsidR="00412222">
        <w:rPr>
          <w:b w:val="0"/>
        </w:rPr>
        <w:t xml:space="preserve">n Horning, AMP, will second a solution </w:t>
      </w:r>
      <w:r>
        <w:rPr>
          <w:b w:val="0"/>
        </w:rPr>
        <w:t>addressing the performance impact of the multi-schedule model on the Market Clearing Engine.</w:t>
      </w:r>
    </w:p>
    <w:p w:rsidR="002A55A3" w:rsidP="002A55A3">
      <w:pPr>
        <w:pStyle w:val="SecondaryHeading-Numbered"/>
        <w:numPr>
          <w:ilvl w:val="0"/>
          <w:numId w:val="0"/>
        </w:numPr>
        <w:spacing w:before="120" w:after="0"/>
        <w:ind w:left="360"/>
        <w:rPr>
          <w:b w:val="0"/>
        </w:rPr>
      </w:pPr>
      <w:r>
        <w:rPr>
          <w:b w:val="0"/>
        </w:rPr>
        <w:t xml:space="preserve">The committee will be asked to endorse a proposed solution and corresponding </w:t>
      </w:r>
      <w:r w:rsidR="000E74CB">
        <w:rPr>
          <w:b w:val="0"/>
        </w:rPr>
        <w:t xml:space="preserve">Tariff and Operating Agreement (OA) </w:t>
      </w:r>
      <w:r>
        <w:rPr>
          <w:b w:val="0"/>
        </w:rPr>
        <w:t xml:space="preserve">revisions at its next meeting.  </w:t>
      </w:r>
    </w:p>
    <w:p w:rsidR="00A90DED" w:rsidP="002421F8">
      <w:pPr>
        <w:pStyle w:val="SecondaryHeading-Numbered"/>
        <w:numPr>
          <w:ilvl w:val="0"/>
          <w:numId w:val="0"/>
        </w:numPr>
        <w:ind w:left="360"/>
        <w:rPr>
          <w:b w:val="0"/>
        </w:rPr>
      </w:pPr>
      <w:hyperlink r:id="rId8" w:history="1">
        <w:r w:rsidRPr="002A55A3" w:rsidR="00355E5A">
          <w:rPr>
            <w:rStyle w:val="Hyperlink"/>
            <w:b w:val="0"/>
          </w:rPr>
          <w:t>Issue Tracking: Performance Impact of multi-schedule model in Market Clearing Engine (MCE)</w:t>
        </w:r>
      </w:hyperlink>
    </w:p>
    <w:p w:rsidR="00524E73" w:rsidP="00524E73">
      <w:pPr>
        <w:pStyle w:val="SecondaryHeading-Numbered"/>
        <w:rPr>
          <w:b w:val="0"/>
          <w:u w:val="single"/>
        </w:rPr>
      </w:pPr>
      <w:r w:rsidRPr="00524E73">
        <w:rPr>
          <w:b w:val="0"/>
          <w:u w:val="single"/>
        </w:rPr>
        <w:t>Reserve Certainty (</w:t>
      </w:r>
      <w:r w:rsidR="00E72E40">
        <w:rPr>
          <w:b w:val="0"/>
          <w:u w:val="single"/>
        </w:rPr>
        <w:t>10:45-11:10</w:t>
      </w:r>
      <w:r w:rsidRPr="00524E73">
        <w:rPr>
          <w:b w:val="0"/>
          <w:u w:val="single"/>
        </w:rPr>
        <w:t xml:space="preserve">) </w:t>
      </w:r>
    </w:p>
    <w:p w:rsidR="00524E73" w:rsidP="00524E73">
      <w:pPr>
        <w:pStyle w:val="SecondaryHeading-Numbered"/>
        <w:numPr>
          <w:ilvl w:val="0"/>
          <w:numId w:val="0"/>
        </w:numPr>
        <w:spacing w:before="120" w:after="0"/>
        <w:ind w:left="360"/>
        <w:rPr>
          <w:b w:val="0"/>
        </w:rPr>
      </w:pPr>
      <w:r>
        <w:rPr>
          <w:b w:val="0"/>
        </w:rPr>
        <w:t>Amanda Egan</w:t>
      </w:r>
      <w:r w:rsidRPr="00524E73">
        <w:rPr>
          <w:b w:val="0"/>
        </w:rPr>
        <w:t xml:space="preserve"> will provide an update regarding the activities of the Reserve Certainty Senior Task Force (RCSTF) and </w:t>
      </w:r>
      <w:r>
        <w:rPr>
          <w:b w:val="0"/>
        </w:rPr>
        <w:t xml:space="preserve">Emily Barrett </w:t>
      </w:r>
      <w:r w:rsidRPr="00524E73">
        <w:rPr>
          <w:b w:val="0"/>
        </w:rPr>
        <w:t>will review the proposed solution</w:t>
      </w:r>
      <w:r>
        <w:rPr>
          <w:b w:val="0"/>
        </w:rPr>
        <w:t>s</w:t>
      </w:r>
      <w:r w:rsidRPr="00524E73">
        <w:rPr>
          <w:b w:val="0"/>
        </w:rPr>
        <w:t xml:space="preserve"> addressing </w:t>
      </w:r>
      <w:r>
        <w:rPr>
          <w:b w:val="0"/>
        </w:rPr>
        <w:t xml:space="preserve">reserve requirements and reserve deployment. The committee will be asked to endorse the proposed solutions at its next meeting.   </w:t>
      </w:r>
    </w:p>
    <w:p w:rsidR="00524E73" w:rsidP="00524E73">
      <w:pPr>
        <w:pStyle w:val="SecondaryHeading-Numbered"/>
        <w:numPr>
          <w:ilvl w:val="0"/>
          <w:numId w:val="0"/>
        </w:numPr>
        <w:ind w:left="360"/>
        <w:rPr>
          <w:b w:val="0"/>
        </w:rPr>
      </w:pPr>
      <w:hyperlink r:id="rId9" w:history="1">
        <w:r w:rsidRPr="00524E73" w:rsidR="00355E5A">
          <w:rPr>
            <w:rStyle w:val="Hyperlink"/>
            <w:b w:val="0"/>
          </w:rPr>
          <w:t>Issue Tracking: Reserve Certainty and Resource Flexibility Incentives</w:t>
        </w:r>
      </w:hyperlink>
      <w:r w:rsidR="00355E5A">
        <w:rPr>
          <w:b w:val="0"/>
        </w:rPr>
        <w:t xml:space="preserve"> </w:t>
      </w:r>
    </w:p>
    <w:p w:rsidR="003753A1" w:rsidP="0064606E">
      <w:pPr>
        <w:pStyle w:val="SecondaryHeading-Numbered"/>
        <w:rPr>
          <w:b w:val="0"/>
          <w:u w:val="single"/>
        </w:rPr>
      </w:pPr>
      <w:r>
        <w:rPr>
          <w:b w:val="0"/>
          <w:u w:val="single"/>
        </w:rPr>
        <w:t>Enhancem</w:t>
      </w:r>
      <w:r w:rsidR="00E72E40">
        <w:rPr>
          <w:b w:val="0"/>
          <w:u w:val="single"/>
        </w:rPr>
        <w:t>ents to Deactivation Rules (11:10-11:3</w:t>
      </w:r>
      <w:r>
        <w:rPr>
          <w:b w:val="0"/>
          <w:u w:val="single"/>
        </w:rPr>
        <w:t>5)</w:t>
      </w:r>
      <w:r w:rsidR="0064606E">
        <w:rPr>
          <w:b w:val="0"/>
          <w:u w:val="single"/>
        </w:rPr>
        <w:t xml:space="preserve"> </w:t>
      </w:r>
    </w:p>
    <w:p w:rsidR="00AD2BB2" w:rsidP="00AD2BB2">
      <w:pPr>
        <w:pStyle w:val="SecondaryHeading-Numbered"/>
        <w:numPr>
          <w:ilvl w:val="0"/>
          <w:numId w:val="0"/>
        </w:numPr>
        <w:spacing w:after="0"/>
        <w:ind w:left="360"/>
        <w:rPr>
          <w:b w:val="0"/>
        </w:rPr>
      </w:pPr>
      <w:r>
        <w:rPr>
          <w:b w:val="0"/>
        </w:rPr>
        <w:t>Philip Sussler, Maryland Office of People’s Counsel, and Clara Summers, Illinois Citizen</w:t>
      </w:r>
      <w:r w:rsidR="003C40AC">
        <w:rPr>
          <w:b w:val="0"/>
        </w:rPr>
        <w:t>s</w:t>
      </w:r>
      <w:bookmarkStart w:id="2" w:name="_GoBack"/>
      <w:bookmarkEnd w:id="2"/>
      <w:r>
        <w:rPr>
          <w:b w:val="0"/>
        </w:rPr>
        <w:t xml:space="preserve"> Utility Board, will review proposed revisions to amend the Deactivation Enhancements Senior Task Force (DESTF) Issue Charge.  </w:t>
      </w:r>
    </w:p>
    <w:p w:rsidR="00AD2BB2" w:rsidRPr="00AD2BB2" w:rsidP="00AD2BB2">
      <w:pPr>
        <w:pStyle w:val="SecondaryHeading-Numbered"/>
        <w:numPr>
          <w:ilvl w:val="0"/>
          <w:numId w:val="0"/>
        </w:numPr>
        <w:ind w:left="360"/>
        <w:rPr>
          <w:b w:val="0"/>
        </w:rPr>
      </w:pPr>
      <w:hyperlink r:id="rId10" w:history="1">
        <w:r w:rsidRPr="00AD2BB2" w:rsidR="00355E5A">
          <w:rPr>
            <w:rStyle w:val="Hyperlink"/>
            <w:b w:val="0"/>
          </w:rPr>
          <w:t>Issue Tracking: Enhancements to Deactivation Rules</w:t>
        </w:r>
      </w:hyperlink>
    </w:p>
    <w:p w:rsidR="00861522" w:rsidP="00EA6EAD">
      <w:pPr>
        <w:pStyle w:val="SecondaryHeading-Numbered"/>
        <w:rPr>
          <w:b w:val="0"/>
          <w:u w:val="single"/>
        </w:rPr>
      </w:pPr>
      <w:r>
        <w:rPr>
          <w:b w:val="0"/>
          <w:u w:val="single"/>
        </w:rPr>
        <w:t>Manual Revisions (</w:t>
      </w:r>
      <w:r w:rsidR="00524E73">
        <w:rPr>
          <w:b w:val="0"/>
          <w:u w:val="single"/>
        </w:rPr>
        <w:t>1</w:t>
      </w:r>
      <w:r w:rsidR="00E72E40">
        <w:rPr>
          <w:b w:val="0"/>
          <w:u w:val="single"/>
        </w:rPr>
        <w:t>1:3</w:t>
      </w:r>
      <w:r w:rsidR="00AD2BB2">
        <w:rPr>
          <w:b w:val="0"/>
          <w:u w:val="single"/>
        </w:rPr>
        <w:t>5-</w:t>
      </w:r>
      <w:r w:rsidR="00E72E40">
        <w:rPr>
          <w:b w:val="0"/>
          <w:u w:val="single"/>
        </w:rPr>
        <w:t>11:50</w:t>
      </w:r>
      <w:r w:rsidR="00D01D34">
        <w:rPr>
          <w:b w:val="0"/>
          <w:u w:val="single"/>
        </w:rPr>
        <w:t>)</w:t>
      </w:r>
    </w:p>
    <w:p w:rsidR="00D01D34" w:rsidRPr="00D01D34" w:rsidP="00D01D34">
      <w:pPr>
        <w:pStyle w:val="SecondaryHeading-Numbered"/>
        <w:numPr>
          <w:ilvl w:val="2"/>
          <w:numId w:val="2"/>
        </w:numPr>
        <w:ind w:left="720" w:hanging="360"/>
        <w:rPr>
          <w:b w:val="0"/>
          <w:u w:val="single"/>
        </w:rPr>
      </w:pPr>
      <w:r w:rsidRPr="00D01D34">
        <w:rPr>
          <w:b w:val="0"/>
        </w:rPr>
        <w:t xml:space="preserve">Kevin Hatch will review </w:t>
      </w:r>
      <w:r>
        <w:rPr>
          <w:b w:val="0"/>
        </w:rPr>
        <w:t xml:space="preserve">proposed revisions to </w:t>
      </w:r>
      <w:r w:rsidRPr="00D01D34">
        <w:rPr>
          <w:b w:val="0"/>
        </w:rPr>
        <w:t>Manual 13</w:t>
      </w:r>
      <w:r>
        <w:rPr>
          <w:b w:val="0"/>
        </w:rPr>
        <w:t xml:space="preserve">: </w:t>
      </w:r>
      <w:r w:rsidRPr="00D01D34">
        <w:rPr>
          <w:b w:val="0"/>
        </w:rPr>
        <w:t>Emergency Operations</w:t>
      </w:r>
      <w:r>
        <w:t xml:space="preserve"> </w:t>
      </w:r>
      <w:r w:rsidRPr="00D01D34">
        <w:rPr>
          <w:b w:val="0"/>
        </w:rPr>
        <w:t xml:space="preserve">resulting from its periodic review. The </w:t>
      </w:r>
      <w:r>
        <w:rPr>
          <w:b w:val="0"/>
        </w:rPr>
        <w:t>c</w:t>
      </w:r>
      <w:r w:rsidRPr="00D01D34">
        <w:rPr>
          <w:b w:val="0"/>
        </w:rPr>
        <w:t>ommittee</w:t>
      </w:r>
      <w:r>
        <w:rPr>
          <w:b w:val="0"/>
        </w:rPr>
        <w:t xml:space="preserve"> will be asked to endorse the proposed revisions </w:t>
      </w:r>
      <w:r w:rsidRPr="00D01D34">
        <w:rPr>
          <w:b w:val="0"/>
        </w:rPr>
        <w:t>at its next meeting.</w:t>
      </w:r>
    </w:p>
    <w:p w:rsidR="00D01D34" w:rsidRPr="00D01D34" w:rsidP="00D01D34">
      <w:pPr>
        <w:pStyle w:val="SecondaryHeading-Numbered"/>
        <w:numPr>
          <w:ilvl w:val="2"/>
          <w:numId w:val="2"/>
        </w:numPr>
        <w:spacing w:before="120" w:after="0"/>
        <w:ind w:left="720" w:hanging="360"/>
        <w:rPr>
          <w:b w:val="0"/>
          <w:u w:val="single"/>
        </w:rPr>
      </w:pPr>
      <w:r w:rsidRPr="00D01D34">
        <w:rPr>
          <w:b w:val="0"/>
        </w:rPr>
        <w:t xml:space="preserve">David Hauske will review </w:t>
      </w:r>
      <w:r>
        <w:rPr>
          <w:b w:val="0"/>
        </w:rPr>
        <w:t xml:space="preserve">proposed revisions to </w:t>
      </w:r>
      <w:r w:rsidRPr="00D01D34">
        <w:rPr>
          <w:b w:val="0"/>
        </w:rPr>
        <w:t>Manual 12</w:t>
      </w:r>
      <w:r>
        <w:rPr>
          <w:b w:val="0"/>
        </w:rPr>
        <w:t>: Balancing Operations</w:t>
      </w:r>
      <w:r w:rsidRPr="00D01D34">
        <w:rPr>
          <w:b w:val="0"/>
        </w:rPr>
        <w:t xml:space="preserve"> conform</w:t>
      </w:r>
      <w:r>
        <w:rPr>
          <w:b w:val="0"/>
        </w:rPr>
        <w:t>ing</w:t>
      </w:r>
      <w:r w:rsidRPr="00D01D34">
        <w:rPr>
          <w:b w:val="0"/>
        </w:rPr>
        <w:t xml:space="preserve"> to the previously endorsed Fuel Requirements for Black Start Resources (FRBSR)</w:t>
      </w:r>
      <w:r>
        <w:rPr>
          <w:b w:val="0"/>
        </w:rPr>
        <w:t xml:space="preserve"> changes</w:t>
      </w:r>
      <w:r w:rsidRPr="00D01D34">
        <w:rPr>
          <w:b w:val="0"/>
        </w:rPr>
        <w:t xml:space="preserve">. The </w:t>
      </w:r>
      <w:r>
        <w:rPr>
          <w:b w:val="0"/>
        </w:rPr>
        <w:t>committee</w:t>
      </w:r>
      <w:r w:rsidRPr="00D01D34">
        <w:rPr>
          <w:b w:val="0"/>
        </w:rPr>
        <w:t xml:space="preserve"> will be asked to endorse </w:t>
      </w:r>
      <w:r>
        <w:rPr>
          <w:b w:val="0"/>
        </w:rPr>
        <w:t xml:space="preserve">the proposed revisions </w:t>
      </w:r>
      <w:r w:rsidRPr="00D01D34">
        <w:rPr>
          <w:b w:val="0"/>
        </w:rPr>
        <w:t>at its next meeting.</w:t>
      </w:r>
    </w:p>
    <w:p w:rsidR="00AD2BB2" w:rsidRPr="00031DE7" w:rsidP="00031DE7">
      <w:pPr>
        <w:pStyle w:val="SecondaryHeading-Numbered"/>
        <w:numPr>
          <w:ilvl w:val="0"/>
          <w:numId w:val="0"/>
        </w:numPr>
        <w:ind w:left="720"/>
        <w:rPr>
          <w:b w:val="0"/>
        </w:rPr>
      </w:pPr>
      <w:hyperlink r:id="rId11" w:history="1">
        <w:r w:rsidRPr="00D01D34" w:rsidR="00D01D34">
          <w:rPr>
            <w:rStyle w:val="Hyperlink"/>
            <w:b w:val="0"/>
          </w:rPr>
          <w:t xml:space="preserve">Issue Tracking: Fuel Requirements for Black Start Resources </w:t>
        </w:r>
      </w:hyperlink>
      <w:r w:rsidRPr="00D01D34" w:rsidR="00D01D34">
        <w:rPr>
          <w:b w:val="0"/>
        </w:rPr>
        <w:t xml:space="preserve"> </w:t>
      </w:r>
    </w:p>
    <w:p w:rsidR="00680537" w:rsidRPr="00614326" w:rsidP="00680537">
      <w:pPr>
        <w:pStyle w:val="PrimaryHeading"/>
        <w:rPr>
          <w:color w:val="FF0000"/>
        </w:rPr>
      </w:pPr>
      <w:r>
        <w:t>Informational Reports</w:t>
      </w:r>
      <w:r w:rsidRPr="00AE7815">
        <w:t xml:space="preserve"> (</w:t>
      </w:r>
      <w:r w:rsidR="00E72E40">
        <w:t>11:50-</w:t>
      </w:r>
      <w:r w:rsidR="00DD7E67">
        <w:rPr>
          <w:color w:val="FF0000"/>
        </w:rPr>
        <w:t>1:50</w:t>
      </w:r>
      <w:r w:rsidR="008A0DE3">
        <w:t>)</w:t>
      </w:r>
    </w:p>
    <w:p w:rsidR="00680537" w:rsidP="00861522">
      <w:pPr>
        <w:pStyle w:val="SecondaryHeading-Numbered"/>
        <w:rPr>
          <w:b w:val="0"/>
          <w:u w:val="single"/>
        </w:rPr>
      </w:pPr>
      <w:r>
        <w:rPr>
          <w:b w:val="0"/>
          <w:u w:val="single"/>
        </w:rPr>
        <w:t>Long-Term Regional Transmission Planning (LTRTP) Manual Revisions (</w:t>
      </w:r>
      <w:r w:rsidR="00E72E40">
        <w:rPr>
          <w:b w:val="0"/>
          <w:u w:val="single"/>
        </w:rPr>
        <w:t>11:50-12:05</w:t>
      </w:r>
      <w:r>
        <w:rPr>
          <w:b w:val="0"/>
          <w:u w:val="single"/>
        </w:rPr>
        <w:t xml:space="preserve">) </w:t>
      </w:r>
    </w:p>
    <w:p w:rsidR="008632F1" w:rsidP="00861522">
      <w:pPr>
        <w:pStyle w:val="SecondaryHeading-Numbered"/>
        <w:numPr>
          <w:ilvl w:val="0"/>
          <w:numId w:val="0"/>
        </w:numPr>
        <w:spacing w:after="0"/>
        <w:ind w:left="360"/>
        <w:rPr>
          <w:b w:val="0"/>
        </w:rPr>
      </w:pPr>
      <w:r w:rsidRPr="008632F1">
        <w:rPr>
          <w:b w:val="0"/>
        </w:rPr>
        <w:t xml:space="preserve">Jason Connell, PJM, will discuss the FERC Order No.1920 issued by FERC on May 13. </w:t>
      </w:r>
    </w:p>
    <w:p w:rsidR="0064606E" w:rsidP="008F1CA0">
      <w:pPr>
        <w:pStyle w:val="SecondaryHeading-Numbered"/>
        <w:numPr>
          <w:ilvl w:val="0"/>
          <w:numId w:val="0"/>
        </w:numPr>
        <w:ind w:left="360"/>
        <w:rPr>
          <w:rStyle w:val="Hyperlink"/>
          <w:b w:val="0"/>
        </w:rPr>
      </w:pPr>
      <w:hyperlink r:id="rId12" w:history="1">
        <w:r w:rsidRPr="00861522" w:rsidR="00861522">
          <w:rPr>
            <w:rStyle w:val="Hyperlink"/>
            <w:b w:val="0"/>
          </w:rPr>
          <w:t>Issue Tracking: Long Term Regional Transmission Planning</w:t>
        </w:r>
      </w:hyperlink>
    </w:p>
    <w:p w:rsidR="00DD7E67" w:rsidP="008F1CA0">
      <w:pPr>
        <w:pStyle w:val="SecondaryHeading-Numbered"/>
        <w:numPr>
          <w:ilvl w:val="0"/>
          <w:numId w:val="0"/>
        </w:numPr>
        <w:ind w:left="360"/>
        <w:rPr>
          <w:rStyle w:val="Hyperlink"/>
          <w:b w:val="0"/>
        </w:rPr>
      </w:pPr>
    </w:p>
    <w:p w:rsidR="00DD7E67" w:rsidP="00DD7E67">
      <w:pPr>
        <w:pStyle w:val="SecondaryHeading-Numbered"/>
        <w:numPr>
          <w:ilvl w:val="0"/>
          <w:numId w:val="0"/>
        </w:numPr>
        <w:rPr>
          <w:rStyle w:val="Hyperlink"/>
          <w:color w:val="FF0000"/>
          <w:u w:val="none"/>
        </w:rPr>
      </w:pPr>
      <w:r>
        <w:rPr>
          <w:rStyle w:val="Hyperlink"/>
          <w:color w:val="FF0000"/>
          <w:u w:val="none"/>
        </w:rPr>
        <w:t>Lunch 12:05-1:05</w:t>
      </w:r>
    </w:p>
    <w:p w:rsidR="00DD7E67" w:rsidRPr="00DD7E67" w:rsidP="00DD7E67">
      <w:pPr>
        <w:pStyle w:val="SecondaryHeading-Numbered"/>
        <w:rPr>
          <w:b w:val="0"/>
          <w:color w:val="FF0000"/>
          <w:u w:val="single"/>
        </w:rPr>
      </w:pPr>
      <w:r w:rsidRPr="00DD7E67">
        <w:rPr>
          <w:b w:val="0"/>
          <w:color w:val="FF0000"/>
          <w:u w:val="single"/>
        </w:rPr>
        <w:t xml:space="preserve">Energy Transition in PJM: Flexibility for the Future </w:t>
      </w:r>
      <w:r>
        <w:rPr>
          <w:b w:val="0"/>
          <w:color w:val="FF0000"/>
          <w:u w:val="single"/>
        </w:rPr>
        <w:t>(1:0</w:t>
      </w:r>
      <w:r w:rsidRPr="00DD7E67">
        <w:rPr>
          <w:b w:val="0"/>
          <w:color w:val="FF0000"/>
          <w:u w:val="single"/>
        </w:rPr>
        <w:t>5-</w:t>
      </w:r>
      <w:r>
        <w:rPr>
          <w:b w:val="0"/>
          <w:color w:val="FF0000"/>
          <w:u w:val="single"/>
        </w:rPr>
        <w:t>1:50</w:t>
      </w:r>
      <w:r w:rsidRPr="00DD7E67">
        <w:rPr>
          <w:b w:val="0"/>
          <w:color w:val="FF0000"/>
          <w:u w:val="single"/>
        </w:rPr>
        <w:t>)</w:t>
      </w:r>
    </w:p>
    <w:p w:rsidR="00DD7E67" w:rsidRPr="00DD7E67" w:rsidP="00DD7E67">
      <w:pPr>
        <w:pStyle w:val="ListSubhead1"/>
        <w:numPr>
          <w:ilvl w:val="0"/>
          <w:numId w:val="0"/>
        </w:numPr>
        <w:ind w:left="360"/>
        <w:rPr>
          <w:b w:val="0"/>
          <w:color w:val="FF0000"/>
        </w:rPr>
      </w:pPr>
      <w:r>
        <w:rPr>
          <w:b w:val="0"/>
          <w:color w:val="FF0000"/>
        </w:rPr>
        <w:t xml:space="preserve">Emanuel </w:t>
      </w:r>
      <w:r w:rsidRPr="00DD7E67">
        <w:rPr>
          <w:b w:val="0"/>
          <w:color w:val="FF0000"/>
        </w:rPr>
        <w:t>Bernabeu</w:t>
      </w:r>
      <w:r>
        <w:rPr>
          <w:b w:val="0"/>
          <w:color w:val="FF0000"/>
        </w:rPr>
        <w:t xml:space="preserve"> and </w:t>
      </w:r>
      <w:r w:rsidRPr="00DD7E67">
        <w:rPr>
          <w:b w:val="0"/>
          <w:color w:val="FF0000"/>
        </w:rPr>
        <w:t xml:space="preserve">Natalie Furtaw will provide an informational report regarding the fourth phase of PJM’s Renewable Integration Study.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D7E67">
            <w:pPr>
              <w:pStyle w:val="PrimaryHeading"/>
              <w:spacing w:after="0"/>
            </w:pPr>
            <w:r w:rsidRPr="0095194C">
              <w:rPr>
                <w:b/>
              </w:rPr>
              <w:t xml:space="preserve">Future Agenda </w:t>
            </w:r>
            <w:r w:rsidRPr="005A3B8F">
              <w:rPr>
                <w:b/>
              </w:rPr>
              <w:t>Items (</w:t>
            </w:r>
            <w:r w:rsidRPr="00DD7E67" w:rsidR="00DD7E67">
              <w:rPr>
                <w:b/>
                <w:color w:val="FF0000"/>
              </w:rPr>
              <w:t>1:50</w:t>
            </w:r>
            <w:r w:rsidRPr="005A3B8F">
              <w:rPr>
                <w:b/>
              </w:rPr>
              <w:t>)</w:t>
            </w:r>
          </w:p>
        </w:tc>
      </w:tr>
      <w:tr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644DB5" w:rsidP="00857EA0">
            <w:pPr>
              <w:pStyle w:val="AttendeesList"/>
            </w:pPr>
          </w:p>
          <w:p w:rsidR="00644DB5" w:rsidP="00857EA0">
            <w:pPr>
              <w:pStyle w:val="AttendeesList"/>
            </w:pPr>
          </w:p>
          <w:p w:rsidR="003C3320" w:rsidP="009D7613">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rsidTr="009C7DCD">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rsidTr="009C7DCD">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9C7DCD">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pPr>
              <w:pStyle w:val="DisclaimerHeading"/>
              <w:spacing w:before="40" w:after="40" w:line="220" w:lineRule="exact"/>
              <w:rPr>
                <w:bCs/>
                <w:sz w:val="18"/>
                <w:szCs w:val="18"/>
              </w:rPr>
            </w:pPr>
            <w:r>
              <w:rPr>
                <w:bCs/>
                <w:sz w:val="18"/>
                <w:szCs w:val="18"/>
              </w:rPr>
              <w:t>July 24, 2024</w:t>
            </w:r>
          </w:p>
        </w:tc>
        <w:tc>
          <w:tcPr>
            <w:tcW w:w="900"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July 12, 2024</w:t>
            </w:r>
          </w:p>
        </w:tc>
        <w:tc>
          <w:tcPr>
            <w:tcW w:w="1604"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July 17, 2024</w:t>
            </w:r>
          </w:p>
        </w:tc>
      </w:tr>
      <w:tr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pPr>
              <w:pStyle w:val="DisclaimerHeading"/>
              <w:spacing w:before="40" w:after="40" w:line="220" w:lineRule="exact"/>
              <w:rPr>
                <w:bCs/>
                <w:sz w:val="18"/>
                <w:szCs w:val="18"/>
              </w:rPr>
            </w:pPr>
            <w:r>
              <w:rPr>
                <w:bCs/>
                <w:sz w:val="18"/>
                <w:szCs w:val="18"/>
              </w:rPr>
              <w:t>August 21, 2024</w:t>
            </w:r>
          </w:p>
        </w:tc>
        <w:tc>
          <w:tcPr>
            <w:tcW w:w="900"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August 9, 2024</w:t>
            </w:r>
          </w:p>
        </w:tc>
        <w:tc>
          <w:tcPr>
            <w:tcW w:w="1604"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August 14, 2024</w:t>
            </w:r>
          </w:p>
        </w:tc>
      </w:tr>
      <w:tr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pPr>
              <w:pStyle w:val="DisclaimerHeading"/>
              <w:spacing w:before="40" w:after="40" w:line="220" w:lineRule="exact"/>
              <w:rPr>
                <w:bCs/>
                <w:sz w:val="18"/>
                <w:szCs w:val="18"/>
              </w:rPr>
            </w:pPr>
            <w:r>
              <w:rPr>
                <w:bCs/>
                <w:sz w:val="18"/>
                <w:szCs w:val="18"/>
              </w:rPr>
              <w:t>September 25, 2024</w:t>
            </w:r>
          </w:p>
        </w:tc>
        <w:tc>
          <w:tcPr>
            <w:tcW w:w="900"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September 13, 2024</w:t>
            </w:r>
          </w:p>
        </w:tc>
        <w:tc>
          <w:tcPr>
            <w:tcW w:w="1604"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September 18, 2024</w:t>
            </w:r>
          </w:p>
        </w:tc>
      </w:tr>
      <w:tr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pPr>
              <w:pStyle w:val="DisclaimerHeading"/>
              <w:spacing w:before="40" w:after="40" w:line="220" w:lineRule="exact"/>
              <w:rPr>
                <w:bCs/>
                <w:sz w:val="18"/>
                <w:szCs w:val="18"/>
              </w:rPr>
            </w:pPr>
            <w:r>
              <w:rPr>
                <w:bCs/>
                <w:sz w:val="18"/>
                <w:szCs w:val="18"/>
              </w:rPr>
              <w:t>October 30, 2024</w:t>
            </w:r>
          </w:p>
        </w:tc>
        <w:tc>
          <w:tcPr>
            <w:tcW w:w="900"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October 18, 2024</w:t>
            </w:r>
          </w:p>
        </w:tc>
        <w:tc>
          <w:tcPr>
            <w:tcW w:w="1604"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October 23, 2024</w:t>
            </w:r>
          </w:p>
        </w:tc>
      </w:tr>
      <w:tr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pPr>
              <w:pStyle w:val="DisclaimerHeading"/>
              <w:spacing w:before="40" w:after="40" w:line="220" w:lineRule="exact"/>
              <w:rPr>
                <w:bCs/>
                <w:sz w:val="18"/>
                <w:szCs w:val="18"/>
              </w:rPr>
            </w:pPr>
            <w:r>
              <w:rPr>
                <w:bCs/>
                <w:sz w:val="18"/>
                <w:szCs w:val="18"/>
              </w:rPr>
              <w:t>November 20, 2024</w:t>
            </w:r>
          </w:p>
        </w:tc>
        <w:tc>
          <w:tcPr>
            <w:tcW w:w="900"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November 8, 2024</w:t>
            </w:r>
          </w:p>
        </w:tc>
        <w:tc>
          <w:tcPr>
            <w:tcW w:w="1604"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November 13, 2024</w:t>
            </w:r>
          </w:p>
        </w:tc>
      </w:tr>
      <w:tr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December 6, 2024</w:t>
            </w:r>
          </w:p>
        </w:tc>
        <w:tc>
          <w:tcPr>
            <w:tcW w:w="1604" w:type="dxa"/>
            <w:tcBorders>
              <w:top w:val="single" w:sz="4" w:space="0" w:color="auto"/>
              <w:left w:val="single" w:sz="4" w:space="0" w:color="auto"/>
              <w:right w:val="single" w:sz="4" w:space="0" w:color="auto"/>
            </w:tcBorders>
          </w:tcPr>
          <w:p w:rsidR="00857EA0" w:rsidP="00857EA0">
            <w:pPr>
              <w:pStyle w:val="DisclaimerHeading"/>
              <w:spacing w:before="40" w:after="40" w:line="220" w:lineRule="exact"/>
              <w:jc w:val="center"/>
              <w:rPr>
                <w:b w:val="0"/>
                <w:color w:val="auto"/>
                <w:sz w:val="18"/>
                <w:szCs w:val="18"/>
              </w:rPr>
            </w:pPr>
            <w:r>
              <w:rPr>
                <w:b w:val="0"/>
                <w:color w:val="auto"/>
                <w:sz w:val="18"/>
                <w:szCs w:val="18"/>
              </w:rPr>
              <w:t>December 11, 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B62597" w:rsidP="00337321">
      <w:pPr>
        <w:pStyle w:val="Author"/>
      </w:pPr>
      <w:r>
        <w:t xml:space="preserve">Author: </w:t>
      </w:r>
      <w:r w:rsidR="00857EA0">
        <w:t xml:space="preserve">M. Greening </w:t>
      </w:r>
    </w:p>
    <w:p w:rsidR="00A42740" w:rsidP="00337321">
      <w:pPr>
        <w:pStyle w:val="Author"/>
      </w:pPr>
    </w:p>
    <w:p w:rsidR="00B62597" w:rsidRPr="00B62597" w:rsidP="00DB29E9">
      <w:pPr>
        <w:pStyle w:val="DisclaimerHeading"/>
      </w:pPr>
      <w:r>
        <w:t>Anti</w:t>
      </w:r>
      <w:r w:rsidRPr="00B62597">
        <w:t>trust:</w:t>
      </w:r>
    </w:p>
    <w:p w:rsid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13"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Participant Use of Webex Chat:</w:t>
      </w:r>
    </w:p>
    <w:p w:rsidR="00D827A6" w:rsidP="00D827A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5"/>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8"/>
      <w:footerReference w:type="even" r:id="rId19"/>
      <w:footerReference w:type="default" r:id="rId2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C40AC">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DD7E67">
      <w:t xml:space="preserve"> June </w:t>
    </w:r>
    <w:r w:rsidR="00DD7E67">
      <w:rPr>
        <w:color w:val="FF0000"/>
      </w:rPr>
      <w:t>24</w:t>
    </w:r>
    <w:r w:rsidR="00857EA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E4180DC8"/>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FD0E4A"/>
    <w:multiLevelType w:val="hybridMultilevel"/>
    <w:tmpl w:val="BA8C049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9401B5"/>
    <w:multiLevelType w:val="hybridMultilevel"/>
    <w:tmpl w:val="4C3639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5195981"/>
    <w:multiLevelType w:val="hybridMultilevel"/>
    <w:tmpl w:val="CE66D278"/>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0921AFB"/>
    <w:multiLevelType w:val="hybridMultilevel"/>
    <w:tmpl w:val="79F888B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3E4333A"/>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6"/>
  </w:num>
  <w:num w:numId="3">
    <w:abstractNumId w:val="0"/>
  </w:num>
  <w:num w:numId="4">
    <w:abstractNumId w:val="4"/>
  </w:num>
  <w:num w:numId="5">
    <w:abstractNumId w:val="2"/>
  </w:num>
  <w:num w:numId="6">
    <w:abstractNumId w:val="6"/>
  </w:num>
  <w:num w:numId="7">
    <w:abstractNumId w:val="6"/>
  </w:num>
  <w:num w:numId="8">
    <w:abstractNumId w:val="6"/>
  </w:num>
  <w:num w:numId="9">
    <w:abstractNumId w:val="7"/>
  </w:num>
  <w:num w:numId="10">
    <w:abstractNumId w:val="5"/>
  </w:num>
  <w:num w:numId="11">
    <w:abstractNumId w:val="6"/>
  </w:num>
  <w:num w:numId="12">
    <w:abstractNumId w:val="3"/>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3607"/>
    <w:rsid w:val="000232DF"/>
    <w:rsid w:val="00024530"/>
    <w:rsid w:val="00026A70"/>
    <w:rsid w:val="00027F49"/>
    <w:rsid w:val="00031DE7"/>
    <w:rsid w:val="000333FF"/>
    <w:rsid w:val="00035E27"/>
    <w:rsid w:val="00046389"/>
    <w:rsid w:val="000538D7"/>
    <w:rsid w:val="0006798D"/>
    <w:rsid w:val="00070C90"/>
    <w:rsid w:val="000910DC"/>
    <w:rsid w:val="00092135"/>
    <w:rsid w:val="0009340B"/>
    <w:rsid w:val="00096230"/>
    <w:rsid w:val="000A6305"/>
    <w:rsid w:val="000A712C"/>
    <w:rsid w:val="000B6A2F"/>
    <w:rsid w:val="000E74CB"/>
    <w:rsid w:val="00117AF9"/>
    <w:rsid w:val="0012069F"/>
    <w:rsid w:val="00121F58"/>
    <w:rsid w:val="00132A7B"/>
    <w:rsid w:val="00140B58"/>
    <w:rsid w:val="00144A91"/>
    <w:rsid w:val="00144C0A"/>
    <w:rsid w:val="00151AC6"/>
    <w:rsid w:val="001678E8"/>
    <w:rsid w:val="00170E02"/>
    <w:rsid w:val="00175A86"/>
    <w:rsid w:val="0018123C"/>
    <w:rsid w:val="001B2242"/>
    <w:rsid w:val="001B4664"/>
    <w:rsid w:val="001C0CC0"/>
    <w:rsid w:val="001D3B68"/>
    <w:rsid w:val="001E44F9"/>
    <w:rsid w:val="00200A1B"/>
    <w:rsid w:val="00207F54"/>
    <w:rsid w:val="002113BD"/>
    <w:rsid w:val="002421F8"/>
    <w:rsid w:val="0025139E"/>
    <w:rsid w:val="002A55A3"/>
    <w:rsid w:val="002B2CB6"/>
    <w:rsid w:val="002B2F98"/>
    <w:rsid w:val="002B52A8"/>
    <w:rsid w:val="002C6057"/>
    <w:rsid w:val="002D4F43"/>
    <w:rsid w:val="002E1FA4"/>
    <w:rsid w:val="002F5845"/>
    <w:rsid w:val="002F6131"/>
    <w:rsid w:val="003025A6"/>
    <w:rsid w:val="00305238"/>
    <w:rsid w:val="00317034"/>
    <w:rsid w:val="003220CF"/>
    <w:rsid w:val="003251CE"/>
    <w:rsid w:val="00337321"/>
    <w:rsid w:val="003421B4"/>
    <w:rsid w:val="00355E5A"/>
    <w:rsid w:val="00373E5F"/>
    <w:rsid w:val="003753A1"/>
    <w:rsid w:val="00391AE7"/>
    <w:rsid w:val="00394850"/>
    <w:rsid w:val="00396120"/>
    <w:rsid w:val="003A33F5"/>
    <w:rsid w:val="003B55E1"/>
    <w:rsid w:val="003B6ACD"/>
    <w:rsid w:val="003C17E2"/>
    <w:rsid w:val="003C3320"/>
    <w:rsid w:val="003C40AC"/>
    <w:rsid w:val="003C781D"/>
    <w:rsid w:val="003D0889"/>
    <w:rsid w:val="003D7E5C"/>
    <w:rsid w:val="003E7A73"/>
    <w:rsid w:val="003F046E"/>
    <w:rsid w:val="00412222"/>
    <w:rsid w:val="00451D92"/>
    <w:rsid w:val="0046043F"/>
    <w:rsid w:val="0049086E"/>
    <w:rsid w:val="00491490"/>
    <w:rsid w:val="00494494"/>
    <w:rsid w:val="004969FA"/>
    <w:rsid w:val="004A77CF"/>
    <w:rsid w:val="004C36CC"/>
    <w:rsid w:val="004C6E71"/>
    <w:rsid w:val="004D08F2"/>
    <w:rsid w:val="004E1445"/>
    <w:rsid w:val="004F23E4"/>
    <w:rsid w:val="004F3D57"/>
    <w:rsid w:val="00500143"/>
    <w:rsid w:val="00500336"/>
    <w:rsid w:val="0050064E"/>
    <w:rsid w:val="00510E66"/>
    <w:rsid w:val="00515E8C"/>
    <w:rsid w:val="00523993"/>
    <w:rsid w:val="00524E73"/>
    <w:rsid w:val="00527104"/>
    <w:rsid w:val="00530902"/>
    <w:rsid w:val="00541512"/>
    <w:rsid w:val="00553627"/>
    <w:rsid w:val="00564DEE"/>
    <w:rsid w:val="00566BFC"/>
    <w:rsid w:val="0057441E"/>
    <w:rsid w:val="005A24FE"/>
    <w:rsid w:val="005A3B8F"/>
    <w:rsid w:val="005A5D0D"/>
    <w:rsid w:val="005B43BD"/>
    <w:rsid w:val="005D6D05"/>
    <w:rsid w:val="005F281C"/>
    <w:rsid w:val="006024A0"/>
    <w:rsid w:val="00602967"/>
    <w:rsid w:val="00606F11"/>
    <w:rsid w:val="00614326"/>
    <w:rsid w:val="00644DB5"/>
    <w:rsid w:val="0064606E"/>
    <w:rsid w:val="00680537"/>
    <w:rsid w:val="006A1E38"/>
    <w:rsid w:val="006C738F"/>
    <w:rsid w:val="006D565A"/>
    <w:rsid w:val="006E29AA"/>
    <w:rsid w:val="006F2800"/>
    <w:rsid w:val="006F41FA"/>
    <w:rsid w:val="006F7A52"/>
    <w:rsid w:val="00705E88"/>
    <w:rsid w:val="00711249"/>
    <w:rsid w:val="00712CAA"/>
    <w:rsid w:val="00716A8B"/>
    <w:rsid w:val="00730F76"/>
    <w:rsid w:val="00744A45"/>
    <w:rsid w:val="007530E1"/>
    <w:rsid w:val="0075340F"/>
    <w:rsid w:val="00754C6D"/>
    <w:rsid w:val="00755096"/>
    <w:rsid w:val="007642DD"/>
    <w:rsid w:val="007703B4"/>
    <w:rsid w:val="00777623"/>
    <w:rsid w:val="00783399"/>
    <w:rsid w:val="00787E97"/>
    <w:rsid w:val="007941A3"/>
    <w:rsid w:val="007A34A3"/>
    <w:rsid w:val="007B0BA7"/>
    <w:rsid w:val="007C2954"/>
    <w:rsid w:val="007C693B"/>
    <w:rsid w:val="007D2072"/>
    <w:rsid w:val="007D4F70"/>
    <w:rsid w:val="007E7CAB"/>
    <w:rsid w:val="008022DE"/>
    <w:rsid w:val="00802FA6"/>
    <w:rsid w:val="00813B57"/>
    <w:rsid w:val="00837B12"/>
    <w:rsid w:val="00841282"/>
    <w:rsid w:val="008552A3"/>
    <w:rsid w:val="00857EA0"/>
    <w:rsid w:val="00861522"/>
    <w:rsid w:val="008632F1"/>
    <w:rsid w:val="00863C39"/>
    <w:rsid w:val="0088143E"/>
    <w:rsid w:val="00882652"/>
    <w:rsid w:val="00895181"/>
    <w:rsid w:val="008A0DE3"/>
    <w:rsid w:val="008D2FE2"/>
    <w:rsid w:val="008D5CDB"/>
    <w:rsid w:val="008F1CA0"/>
    <w:rsid w:val="008F499A"/>
    <w:rsid w:val="00911156"/>
    <w:rsid w:val="00914902"/>
    <w:rsid w:val="00915FA7"/>
    <w:rsid w:val="00917386"/>
    <w:rsid w:val="009244F9"/>
    <w:rsid w:val="00933430"/>
    <w:rsid w:val="0094488B"/>
    <w:rsid w:val="0095194C"/>
    <w:rsid w:val="00962D54"/>
    <w:rsid w:val="0097702E"/>
    <w:rsid w:val="00984018"/>
    <w:rsid w:val="00991528"/>
    <w:rsid w:val="009A5430"/>
    <w:rsid w:val="009C0464"/>
    <w:rsid w:val="009C15C4"/>
    <w:rsid w:val="009C5AC2"/>
    <w:rsid w:val="009C70BA"/>
    <w:rsid w:val="009C7250"/>
    <w:rsid w:val="009C7DCD"/>
    <w:rsid w:val="009D39D5"/>
    <w:rsid w:val="009D7613"/>
    <w:rsid w:val="009E0DA4"/>
    <w:rsid w:val="009F53F9"/>
    <w:rsid w:val="009F6D09"/>
    <w:rsid w:val="00A004A8"/>
    <w:rsid w:val="00A05391"/>
    <w:rsid w:val="00A05D00"/>
    <w:rsid w:val="00A265E1"/>
    <w:rsid w:val="00A317A9"/>
    <w:rsid w:val="00A36FEA"/>
    <w:rsid w:val="00A41149"/>
    <w:rsid w:val="00A42740"/>
    <w:rsid w:val="00A56D57"/>
    <w:rsid w:val="00A64108"/>
    <w:rsid w:val="00A82E9D"/>
    <w:rsid w:val="00A877E0"/>
    <w:rsid w:val="00A90DED"/>
    <w:rsid w:val="00A931C3"/>
    <w:rsid w:val="00AB6AB9"/>
    <w:rsid w:val="00AB6C53"/>
    <w:rsid w:val="00AC2247"/>
    <w:rsid w:val="00AC24BF"/>
    <w:rsid w:val="00AD14E4"/>
    <w:rsid w:val="00AD2BB2"/>
    <w:rsid w:val="00AD78F1"/>
    <w:rsid w:val="00AE41E2"/>
    <w:rsid w:val="00AE7815"/>
    <w:rsid w:val="00B11670"/>
    <w:rsid w:val="00B16D95"/>
    <w:rsid w:val="00B20316"/>
    <w:rsid w:val="00B34E3C"/>
    <w:rsid w:val="00B42FAE"/>
    <w:rsid w:val="00B62597"/>
    <w:rsid w:val="00BA6146"/>
    <w:rsid w:val="00BB213B"/>
    <w:rsid w:val="00BB531B"/>
    <w:rsid w:val="00BB6921"/>
    <w:rsid w:val="00BE255C"/>
    <w:rsid w:val="00BF331B"/>
    <w:rsid w:val="00C064FE"/>
    <w:rsid w:val="00C10A93"/>
    <w:rsid w:val="00C11F0A"/>
    <w:rsid w:val="00C22988"/>
    <w:rsid w:val="00C31DF8"/>
    <w:rsid w:val="00C36E16"/>
    <w:rsid w:val="00C439EC"/>
    <w:rsid w:val="00C5307B"/>
    <w:rsid w:val="00C60669"/>
    <w:rsid w:val="00C710A8"/>
    <w:rsid w:val="00C72168"/>
    <w:rsid w:val="00C75334"/>
    <w:rsid w:val="00C757F4"/>
    <w:rsid w:val="00C759B4"/>
    <w:rsid w:val="00C75A9D"/>
    <w:rsid w:val="00C97B37"/>
    <w:rsid w:val="00CA0006"/>
    <w:rsid w:val="00CA20E8"/>
    <w:rsid w:val="00CA49B9"/>
    <w:rsid w:val="00CB19DE"/>
    <w:rsid w:val="00CB475B"/>
    <w:rsid w:val="00CC1B47"/>
    <w:rsid w:val="00CD1E89"/>
    <w:rsid w:val="00CE451E"/>
    <w:rsid w:val="00D00233"/>
    <w:rsid w:val="00D01D34"/>
    <w:rsid w:val="00D06EC8"/>
    <w:rsid w:val="00D07E32"/>
    <w:rsid w:val="00D136EA"/>
    <w:rsid w:val="00D16C7B"/>
    <w:rsid w:val="00D23BC7"/>
    <w:rsid w:val="00D251ED"/>
    <w:rsid w:val="00D3539B"/>
    <w:rsid w:val="00D477E1"/>
    <w:rsid w:val="00D827A6"/>
    <w:rsid w:val="00D831E4"/>
    <w:rsid w:val="00D95949"/>
    <w:rsid w:val="00DA23DE"/>
    <w:rsid w:val="00DB29E9"/>
    <w:rsid w:val="00DB61C7"/>
    <w:rsid w:val="00DD6DF5"/>
    <w:rsid w:val="00DD7E67"/>
    <w:rsid w:val="00DE34CF"/>
    <w:rsid w:val="00DE77B9"/>
    <w:rsid w:val="00DF1112"/>
    <w:rsid w:val="00E01E4B"/>
    <w:rsid w:val="00E05815"/>
    <w:rsid w:val="00E1605D"/>
    <w:rsid w:val="00E26839"/>
    <w:rsid w:val="00E32B6B"/>
    <w:rsid w:val="00E5387A"/>
    <w:rsid w:val="00E55E84"/>
    <w:rsid w:val="00E72E40"/>
    <w:rsid w:val="00EA05B9"/>
    <w:rsid w:val="00EA6EAD"/>
    <w:rsid w:val="00EB68B0"/>
    <w:rsid w:val="00ED3033"/>
    <w:rsid w:val="00F15A5F"/>
    <w:rsid w:val="00F355A1"/>
    <w:rsid w:val="00F4190F"/>
    <w:rsid w:val="00F47890"/>
    <w:rsid w:val="00F47CA9"/>
    <w:rsid w:val="00F5077C"/>
    <w:rsid w:val="00FA5955"/>
    <w:rsid w:val="00FB1470"/>
    <w:rsid w:val="00FB1739"/>
    <w:rsid w:val="00FB72E0"/>
    <w:rsid w:val="00FC2B9A"/>
    <w:rsid w:val="00FC34C2"/>
    <w:rsid w:val="00FC42FD"/>
    <w:rsid w:val="00FC602B"/>
    <w:rsid w:val="00FF0BFF"/>
    <w:rsid w:val="00FF1817"/>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CEBC32"/>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2e32710d-634b-4925-84bf-1f56a33c7e05" TargetMode="External" /><Relationship Id="rId11" Type="http://schemas.openxmlformats.org/officeDocument/2006/relationships/hyperlink" Target="https://www.pjm.com/committees-and-groups/issue-tracking/issue-tracking-details.aspx?Issue=b7f726e1-9f06-414e-8516-4d69b5050af4" TargetMode="External" /><Relationship Id="rId12" Type="http://schemas.openxmlformats.org/officeDocument/2006/relationships/hyperlink" Target="https://www.pjm.com/committees-and-groups/issue-tracking/issue-tracking-details.aspx?Issue=ebd2f231-890f-4376-b1c9-4d709bb395cf" TargetMode="External" /><Relationship Id="rId13" Type="http://schemas.openxmlformats.org/officeDocument/2006/relationships/hyperlink" Target="https://www.pjm.com/about-pjm/who-we-are/code-of-conduct" TargetMode="External" /><Relationship Id="rId14" Type="http://schemas.openxmlformats.org/officeDocument/2006/relationships/image" Target="media/image1.png" /><Relationship Id="rId15" Type="http://schemas.openxmlformats.org/officeDocument/2006/relationships/image" Target="media/image2.png" /><Relationship Id="rId16" Type="http://schemas.openxmlformats.org/officeDocument/2006/relationships/hyperlink" Target="https://www.pjm.com/committees-and-groups/committees/form-facilitator-feedback.aspx" TargetMode="External" /><Relationship Id="rId17" Type="http://schemas.openxmlformats.org/officeDocument/2006/relationships/hyperlink" Target="https://learn.pjm.com/"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non-stakeholder.aspx?Issue=379d285d-eefa-4cb5-94b8-7547bf4d787f" TargetMode="External" /><Relationship Id="rId5" Type="http://schemas.openxmlformats.org/officeDocument/2006/relationships/hyperlink" Target="https://pjm.com/committees-and-groups/issue-tracking/issue-tracking-details.aspx?Issue=7e4d5cb0-8418-4117-b6e0-1e20f48aa7b0" TargetMode="External" /><Relationship Id="rId6" Type="http://schemas.openxmlformats.org/officeDocument/2006/relationships/hyperlink" Target="https://www.pjm.com/committees-and-groups/issue-tracking/issue-tracking-details.aspx?Issue=e3c8385c-0638-4a1d-a5d2-8b1a2a87c295" TargetMode="External" /><Relationship Id="rId7" Type="http://schemas.openxmlformats.org/officeDocument/2006/relationships/hyperlink" Target="https://www.pjm.com/committees-and-groups/issue-tracking/issue-tracking-details.aspx?Issue=494e2c44-967c-4956-9d34-62a963558c12" TargetMode="External" /><Relationship Id="rId8" Type="http://schemas.openxmlformats.org/officeDocument/2006/relationships/hyperlink" Target="https://www.pjm.com/committees-and-groups/issue-tracking/issue-tracking-details.aspx?Issue=deb6e5c9-0a1a-4dc2-bab0-8eed6d2e91ee" TargetMode="External" /><Relationship Id="rId9" Type="http://schemas.openxmlformats.org/officeDocument/2006/relationships/hyperlink" Target="https://pjm.com/committees-and-groups/issue-tracking/issue-tracking-details.aspx?Issue=5a586fd0-2381-40c2-a593-15eada18ad50"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