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8631A" w:rsidRPr="00981B9F" w:rsidP="0028631A">
      <w:pPr>
        <w:pStyle w:val="MeetingDetails"/>
      </w:pPr>
      <w:r w:rsidRPr="00981B9F">
        <w:t>Energy Transition in PJM: Resource Retirements, Replacements and Risks Workshop</w:t>
      </w:r>
    </w:p>
    <w:p w:rsidR="00981B9F" w:rsidRPr="00981B9F" w:rsidP="00755096">
      <w:pPr>
        <w:pStyle w:val="MeetingDetails"/>
      </w:pPr>
      <w:r w:rsidRPr="00981B9F">
        <w:t>In</w:t>
      </w:r>
      <w:r w:rsidRPr="00981B9F">
        <w:t xml:space="preserve"> </w:t>
      </w:r>
      <w:r w:rsidRPr="00981B9F">
        <w:t>PJM Conference and Training Center, Audubon, PA / WebEx</w:t>
      </w:r>
      <w:r w:rsidRPr="00981B9F">
        <w:t xml:space="preserve"> </w:t>
      </w:r>
    </w:p>
    <w:p w:rsidR="00B62597" w:rsidRPr="00981B9F" w:rsidP="00755096">
      <w:pPr>
        <w:pStyle w:val="MeetingDetails"/>
      </w:pPr>
      <w:r w:rsidRPr="00981B9F">
        <w:t>March 28</w:t>
      </w:r>
      <w:r w:rsidRPr="00981B9F" w:rsidR="002B2F98">
        <w:t xml:space="preserve">, </w:t>
      </w:r>
      <w:r w:rsidRPr="00981B9F" w:rsidR="0097702E">
        <w:t>2023</w:t>
      </w:r>
    </w:p>
    <w:p w:rsidR="00B62597" w:rsidRPr="00981B9F" w:rsidP="00755096">
      <w:pPr>
        <w:pStyle w:val="MeetingDetails"/>
        <w:rPr>
          <w:u w:val="single"/>
        </w:rPr>
      </w:pPr>
      <w:r w:rsidRPr="00981B9F">
        <w:t>9</w:t>
      </w:r>
      <w:r w:rsidRPr="00981B9F" w:rsidR="002B2F98">
        <w:t xml:space="preserve">:00 </w:t>
      </w:r>
      <w:r w:rsidRPr="00981B9F" w:rsidR="00010057">
        <w:t>a</w:t>
      </w:r>
      <w:r w:rsidRPr="00981B9F">
        <w:t>.m. – 12:00 p</w:t>
      </w:r>
      <w:r w:rsidRPr="00981B9F" w:rsidR="00755096">
        <w:t>.m.</w:t>
      </w:r>
      <w:r w:rsidRPr="00981B9F" w:rsidR="00010057">
        <w:t xml:space="preserve"> EPT</w:t>
      </w:r>
    </w:p>
    <w:p w:rsidR="00B62597" w:rsidRPr="00981B9F" w:rsidP="00B62597">
      <w:pPr>
        <w:spacing w:after="0" w:line="240" w:lineRule="auto"/>
        <w:rPr>
          <w:rFonts w:ascii="Arial Narrow" w:eastAsia="Times New Roman" w:hAnsi="Arial Narrow" w:cs="Times New Roman"/>
          <w:sz w:val="24"/>
          <w:szCs w:val="24"/>
        </w:rPr>
      </w:pPr>
    </w:p>
    <w:p w:rsidR="00B62597" w:rsidRPr="00981B9F" w:rsidP="007C2954">
      <w:pPr>
        <w:pStyle w:val="PrimaryHeading"/>
        <w:rPr>
          <w:caps/>
          <w:sz w:val="24"/>
          <w:szCs w:val="24"/>
        </w:rPr>
      </w:pPr>
      <w:bookmarkStart w:id="0" w:name="OLE_LINK5"/>
      <w:bookmarkStart w:id="1" w:name="OLE_LINK3"/>
      <w:r w:rsidRPr="00981B9F">
        <w:rPr>
          <w:sz w:val="24"/>
          <w:szCs w:val="24"/>
        </w:rPr>
        <w:t>Administrati</w:t>
      </w:r>
      <w:r w:rsidRPr="00981B9F" w:rsidR="0028631A">
        <w:rPr>
          <w:sz w:val="24"/>
          <w:szCs w:val="24"/>
        </w:rPr>
        <w:t>on (9:00-9:15</w:t>
      </w:r>
      <w:r w:rsidRPr="00981B9F">
        <w:rPr>
          <w:sz w:val="24"/>
          <w:szCs w:val="24"/>
        </w:rPr>
        <w:t>)</w:t>
      </w:r>
    </w:p>
    <w:bookmarkEnd w:id="0"/>
    <w:bookmarkEnd w:id="1"/>
    <w:p w:rsidR="0028631A" w:rsidRPr="00981B9F" w:rsidP="0028631A">
      <w:pPr>
        <w:pStyle w:val="SecondaryHeading-Numbered"/>
        <w:rPr>
          <w:b w:val="0"/>
          <w:szCs w:val="24"/>
        </w:rPr>
      </w:pPr>
      <w:r w:rsidRPr="00981B9F">
        <w:rPr>
          <w:b w:val="0"/>
          <w:szCs w:val="24"/>
        </w:rPr>
        <w:t>Madalyn Beban, PJM, will review the Antitrust Guidelines, Code of Conduct, Public Meetings/Media Participation, Webex Participant Identification Requirements and Compliance Disclaimer.</w:t>
      </w:r>
    </w:p>
    <w:p w:rsidR="00B62597" w:rsidRPr="00981B9F" w:rsidP="0028631A">
      <w:pPr>
        <w:pStyle w:val="SecondaryHeading-Numbered"/>
        <w:rPr>
          <w:b w:val="0"/>
          <w:color w:val="000000" w:themeColor="text1"/>
          <w:szCs w:val="24"/>
        </w:rPr>
      </w:pPr>
      <w:r w:rsidRPr="00981B9F">
        <w:rPr>
          <w:b w:val="0"/>
          <w:color w:val="000000" w:themeColor="text1"/>
          <w:szCs w:val="24"/>
        </w:rPr>
        <w:t xml:space="preserve">Michele Greening, PJM, will </w:t>
      </w:r>
      <w:r w:rsidRPr="00981B9F" w:rsidR="009E380D">
        <w:rPr>
          <w:b w:val="0"/>
          <w:color w:val="000000" w:themeColor="text1"/>
          <w:szCs w:val="24"/>
        </w:rPr>
        <w:t>set expectatio</w:t>
      </w:r>
      <w:r w:rsidRPr="00981B9F" w:rsidR="003337A5">
        <w:rPr>
          <w:b w:val="0"/>
          <w:color w:val="000000" w:themeColor="text1"/>
          <w:szCs w:val="24"/>
        </w:rPr>
        <w:t>ns for the workshop</w:t>
      </w:r>
      <w:r w:rsidRPr="00981B9F" w:rsidR="00981B9F">
        <w:rPr>
          <w:b w:val="0"/>
          <w:color w:val="000000" w:themeColor="text1"/>
          <w:szCs w:val="24"/>
        </w:rPr>
        <w:t xml:space="preserve"> format</w:t>
      </w:r>
      <w:r w:rsidRPr="00981B9F" w:rsidR="003337A5">
        <w:rPr>
          <w:b w:val="0"/>
          <w:color w:val="000000" w:themeColor="text1"/>
          <w:szCs w:val="24"/>
        </w:rPr>
        <w:t>.</w:t>
      </w:r>
    </w:p>
    <w:p w:rsidR="001D3B68" w:rsidRPr="00981B9F" w:rsidP="007C2954">
      <w:pPr>
        <w:pStyle w:val="PrimaryHeading"/>
        <w:rPr>
          <w:sz w:val="24"/>
          <w:szCs w:val="24"/>
        </w:rPr>
      </w:pPr>
      <w:r w:rsidRPr="00981B9F">
        <w:rPr>
          <w:sz w:val="24"/>
          <w:szCs w:val="24"/>
        </w:rPr>
        <w:t>Informational Report (9:15-11:45</w:t>
      </w:r>
      <w:r w:rsidRPr="00981B9F">
        <w:rPr>
          <w:sz w:val="24"/>
          <w:szCs w:val="24"/>
        </w:rPr>
        <w:t>)</w:t>
      </w:r>
    </w:p>
    <w:p w:rsidR="0028631A" w:rsidRPr="00981B9F" w:rsidP="0028631A">
      <w:pPr>
        <w:pStyle w:val="SecondaryHeading-Numbered"/>
        <w:rPr>
          <w:b w:val="0"/>
          <w:szCs w:val="24"/>
        </w:rPr>
      </w:pPr>
      <w:r w:rsidRPr="00981B9F">
        <w:rPr>
          <w:b w:val="0"/>
          <w:szCs w:val="24"/>
        </w:rPr>
        <w:t>Energy Transition in PJM: Resource Retirements, Replacements and Risks</w:t>
      </w:r>
    </w:p>
    <w:p w:rsidR="0028631A" w:rsidRPr="00981B9F" w:rsidP="0028631A">
      <w:pPr>
        <w:pStyle w:val="SecondaryHeading-Numbered"/>
        <w:numPr>
          <w:ilvl w:val="0"/>
          <w:numId w:val="0"/>
        </w:numPr>
        <w:ind w:left="360"/>
        <w:rPr>
          <w:b w:val="0"/>
          <w:szCs w:val="24"/>
        </w:rPr>
      </w:pPr>
      <w:r w:rsidRPr="00981B9F">
        <w:rPr>
          <w:b w:val="0"/>
          <w:szCs w:val="24"/>
        </w:rPr>
        <w:t>PJM Staff will review the study methodologies, findings and report, and answer questions.</w:t>
      </w:r>
    </w:p>
    <w:p w:rsidR="0028631A" w:rsidRPr="00981B9F" w:rsidP="0028631A">
      <w:pPr>
        <w:pStyle w:val="SecondaryHeading-Numbered"/>
        <w:numPr>
          <w:ilvl w:val="1"/>
          <w:numId w:val="11"/>
        </w:numPr>
        <w:rPr>
          <w:b w:val="0"/>
          <w:szCs w:val="24"/>
        </w:rPr>
      </w:pPr>
      <w:r w:rsidRPr="00981B9F">
        <w:rPr>
          <w:b w:val="0"/>
          <w:szCs w:val="24"/>
        </w:rPr>
        <w:t>Introduction and Context</w:t>
      </w:r>
    </w:p>
    <w:p w:rsidR="00D209C4" w:rsidRPr="00981B9F" w:rsidP="0028631A">
      <w:pPr>
        <w:pStyle w:val="SecondaryHeading-Numbered"/>
        <w:numPr>
          <w:ilvl w:val="1"/>
          <w:numId w:val="11"/>
        </w:numPr>
        <w:rPr>
          <w:b w:val="0"/>
          <w:szCs w:val="24"/>
        </w:rPr>
      </w:pPr>
      <w:r w:rsidRPr="00981B9F">
        <w:rPr>
          <w:b w:val="0"/>
          <w:szCs w:val="24"/>
        </w:rPr>
        <w:t>Analysis Details</w:t>
      </w:r>
    </w:p>
    <w:p w:rsidR="0028631A" w:rsidRPr="00981B9F" w:rsidP="00D209C4">
      <w:pPr>
        <w:pStyle w:val="SecondaryHeading-Numbered"/>
        <w:numPr>
          <w:ilvl w:val="0"/>
          <w:numId w:val="0"/>
        </w:numPr>
        <w:ind w:left="1098"/>
        <w:rPr>
          <w:b w:val="0"/>
          <w:szCs w:val="24"/>
        </w:rPr>
      </w:pPr>
      <w:r w:rsidRPr="00981B9F">
        <w:rPr>
          <w:b w:val="0"/>
          <w:szCs w:val="24"/>
        </w:rPr>
        <w:t>i. Supply Exit</w:t>
      </w:r>
      <w:r w:rsidRPr="00981B9F" w:rsidR="00957E35">
        <w:rPr>
          <w:b w:val="0"/>
          <w:szCs w:val="24"/>
        </w:rPr>
        <w:t>s</w:t>
      </w:r>
    </w:p>
    <w:p w:rsidR="0028631A" w:rsidRPr="00981B9F" w:rsidP="00D209C4">
      <w:pPr>
        <w:pStyle w:val="SecondaryHeading-Numbered"/>
        <w:numPr>
          <w:ilvl w:val="0"/>
          <w:numId w:val="0"/>
        </w:numPr>
        <w:ind w:left="1098"/>
        <w:rPr>
          <w:b w:val="0"/>
          <w:szCs w:val="24"/>
        </w:rPr>
      </w:pPr>
      <w:r w:rsidRPr="00981B9F">
        <w:rPr>
          <w:b w:val="0"/>
          <w:szCs w:val="24"/>
        </w:rPr>
        <w:t>ii</w:t>
      </w:r>
      <w:r w:rsidRPr="00981B9F">
        <w:rPr>
          <w:b w:val="0"/>
          <w:szCs w:val="24"/>
        </w:rPr>
        <w:t>. Supply Entry</w:t>
      </w:r>
    </w:p>
    <w:p w:rsidR="0028631A" w:rsidRPr="00981B9F" w:rsidP="00D209C4">
      <w:pPr>
        <w:pStyle w:val="SecondaryHeading-Numbered"/>
        <w:numPr>
          <w:ilvl w:val="0"/>
          <w:numId w:val="0"/>
        </w:numPr>
        <w:ind w:left="1098"/>
        <w:rPr>
          <w:b w:val="0"/>
          <w:szCs w:val="24"/>
        </w:rPr>
      </w:pPr>
      <w:r w:rsidRPr="00981B9F">
        <w:rPr>
          <w:b w:val="0"/>
          <w:szCs w:val="24"/>
        </w:rPr>
        <w:t xml:space="preserve">iii. </w:t>
      </w:r>
      <w:r w:rsidRPr="00981B9F">
        <w:rPr>
          <w:b w:val="0"/>
          <w:szCs w:val="24"/>
        </w:rPr>
        <w:t>Demand Expectations</w:t>
      </w:r>
    </w:p>
    <w:p w:rsidR="00A20AC7" w:rsidRPr="00981B9F" w:rsidP="00A20AC7">
      <w:pPr>
        <w:pStyle w:val="SecondaryHeading-Numbered"/>
        <w:numPr>
          <w:ilvl w:val="1"/>
          <w:numId w:val="11"/>
        </w:numPr>
        <w:rPr>
          <w:b w:val="0"/>
          <w:szCs w:val="24"/>
        </w:rPr>
      </w:pPr>
      <w:r w:rsidRPr="00981B9F">
        <w:rPr>
          <w:b w:val="0"/>
          <w:szCs w:val="24"/>
        </w:rPr>
        <w:t>Findings</w:t>
      </w:r>
    </w:p>
    <w:p w:rsidR="001D3B68" w:rsidRPr="00981B9F" w:rsidP="007C2954">
      <w:pPr>
        <w:pStyle w:val="PrimaryHeading"/>
        <w:rPr>
          <w:sz w:val="24"/>
          <w:szCs w:val="24"/>
        </w:rPr>
      </w:pPr>
      <w:r w:rsidRPr="00981B9F">
        <w:rPr>
          <w:sz w:val="24"/>
          <w:szCs w:val="24"/>
        </w:rPr>
        <w:t>Reference</w:t>
      </w:r>
    </w:p>
    <w:p w:rsidR="0028631A" w:rsidRPr="00981B9F" w:rsidP="00A20AC7">
      <w:pPr>
        <w:pStyle w:val="ListSubhead1"/>
        <w:rPr>
          <w:b w:val="0"/>
          <w:szCs w:val="24"/>
        </w:rPr>
      </w:pPr>
      <w:r>
        <w:rPr>
          <w:b w:val="0"/>
          <w:szCs w:val="24"/>
        </w:rPr>
        <w:t>L</w:t>
      </w:r>
      <w:bookmarkStart w:id="2" w:name="_GoBack"/>
      <w:bookmarkEnd w:id="2"/>
      <w:r w:rsidRPr="00981B9F">
        <w:rPr>
          <w:b w:val="0"/>
          <w:szCs w:val="24"/>
        </w:rPr>
        <w:t>inks to access the reports that were previously posted:</w:t>
      </w:r>
    </w:p>
    <w:p w:rsidR="0028631A" w:rsidRPr="00981B9F" w:rsidP="0028631A">
      <w:pPr>
        <w:pStyle w:val="DisclaimerBodyCopy"/>
        <w:numPr>
          <w:ilvl w:val="0"/>
          <w:numId w:val="14"/>
        </w:numPr>
        <w:ind w:left="1440" w:hanging="450"/>
        <w:rPr>
          <w:rStyle w:val="Hyperlink"/>
          <w:color w:val="auto"/>
          <w:sz w:val="24"/>
          <w:szCs w:val="24"/>
          <w:u w:val="none"/>
        </w:rPr>
      </w:pPr>
      <w:hyperlink r:id="rId4" w:history="1">
        <w:r w:rsidRPr="00981B9F">
          <w:rPr>
            <w:rStyle w:val="Hyperlink"/>
            <w:sz w:val="24"/>
            <w:szCs w:val="24"/>
          </w:rPr>
          <w:t>Energy Transition in PJM: Resource Retirements, Replacements and Risks</w:t>
        </w:r>
      </w:hyperlink>
    </w:p>
    <w:p w:rsidR="0028631A" w:rsidRPr="00981B9F" w:rsidP="0028631A">
      <w:pPr>
        <w:pStyle w:val="DisclaimerBodyCopy"/>
        <w:ind w:left="1440"/>
        <w:rPr>
          <w:rStyle w:val="Hyperlink"/>
          <w:color w:val="auto"/>
          <w:sz w:val="24"/>
          <w:szCs w:val="24"/>
          <w:u w:val="none"/>
        </w:rPr>
      </w:pPr>
    </w:p>
    <w:p w:rsidR="0028631A" w:rsidRPr="00981B9F" w:rsidP="0028631A">
      <w:pPr>
        <w:pStyle w:val="DisclaimerBodyCopy"/>
        <w:numPr>
          <w:ilvl w:val="0"/>
          <w:numId w:val="14"/>
        </w:numPr>
        <w:ind w:left="1440" w:hanging="450"/>
        <w:rPr>
          <w:sz w:val="24"/>
          <w:szCs w:val="24"/>
        </w:rPr>
      </w:pPr>
      <w:hyperlink r:id="rId5" w:history="1">
        <w:r w:rsidRPr="00981B9F">
          <w:rPr>
            <w:rStyle w:val="Hyperlink"/>
            <w:sz w:val="24"/>
            <w:szCs w:val="24"/>
          </w:rPr>
          <w:t>Energy Transition in PJM: Emerging Characteristics of a Decarbonizing Grid</w:t>
        </w:r>
      </w:hyperlink>
      <w:r w:rsidRPr="00981B9F">
        <w:rPr>
          <w:sz w:val="24"/>
          <w:szCs w:val="24"/>
        </w:rPr>
        <w:t xml:space="preserve"> </w:t>
      </w:r>
    </w:p>
    <w:p w:rsidR="0028631A" w:rsidRPr="00981B9F" w:rsidP="0028631A">
      <w:pPr>
        <w:pStyle w:val="DisclaimerBodyCopy"/>
        <w:ind w:left="1440" w:hanging="450"/>
        <w:rPr>
          <w:sz w:val="24"/>
          <w:szCs w:val="24"/>
        </w:rPr>
      </w:pPr>
    </w:p>
    <w:p w:rsidR="0028631A" w:rsidRPr="00981B9F" w:rsidP="0028631A">
      <w:pPr>
        <w:pStyle w:val="DisclaimerBodyCopy"/>
        <w:numPr>
          <w:ilvl w:val="0"/>
          <w:numId w:val="14"/>
        </w:numPr>
        <w:ind w:left="1440" w:hanging="450"/>
        <w:rPr>
          <w:sz w:val="24"/>
          <w:szCs w:val="24"/>
        </w:rPr>
      </w:pPr>
      <w:hyperlink r:id="rId6" w:history="1">
        <w:r w:rsidRPr="00981B9F">
          <w:rPr>
            <w:rStyle w:val="Hyperlink"/>
            <w:sz w:val="24"/>
            <w:szCs w:val="24"/>
          </w:rPr>
          <w:t>Energy Transition in PJM: Frameworks for Analysis</w:t>
        </w:r>
      </w:hyperlink>
    </w:p>
    <w:p w:rsidR="003C3320" w:rsidRPr="00981B9F" w:rsidP="003C3320">
      <w:pPr>
        <w:pStyle w:val="DisclaimerBodyCopy"/>
        <w:rPr>
          <w:sz w:val="24"/>
          <w:szCs w:val="24"/>
        </w:rPr>
      </w:pPr>
    </w:p>
    <w:p w:rsidR="00B62597" w:rsidP="00A20AC7">
      <w:pPr>
        <w:pStyle w:val="Author"/>
        <w:pBdr>
          <w:top w:val="single" w:sz="4" w:space="1" w:color="auto"/>
        </w:pBdr>
      </w:pPr>
      <w:r>
        <w:t xml:space="preserve">Author: </w:t>
      </w:r>
      <w:r w:rsidR="0028631A">
        <w:t>Madalyn Beban</w:t>
      </w:r>
    </w:p>
    <w:p w:rsidR="00A317A9" w:rsidRPr="00B62597" w:rsidP="0028631A">
      <w:pPr>
        <w:pStyle w:val="Author"/>
        <w:ind w:firstLine="720"/>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RPr="00981B9F" w:rsidP="00D2316E">
      <w:pPr>
        <w:pStyle w:val="DisclaimerHeading"/>
        <w:rPr>
          <w:b w:val="0"/>
        </w:rPr>
      </w:pPr>
      <w:r w:rsidRPr="00981B9F">
        <w:rPr>
          <w:rStyle w:val="Strong"/>
          <w:b/>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1B9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E0EA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 M</w:t>
    </w:r>
    <w:r w:rsidR="00D209C4">
      <w:t>arch 23</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226278E"/>
    <w:multiLevelType w:val="hybridMultilevel"/>
    <w:tmpl w:val="72E4F760"/>
    <w:lvl w:ilvl="0">
      <w:start w:val="1"/>
      <w:numFmt w:val="bullet"/>
      <w:lvlText w:val=""/>
      <w:lvlJc w:val="left"/>
      <w:pPr>
        <w:ind w:left="1648" w:hanging="360"/>
      </w:pPr>
      <w:rPr>
        <w:rFonts w:ascii="Symbol" w:hAnsi="Symbol"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2B75FCA"/>
    <w:multiLevelType w:val="hybridMultilevel"/>
    <w:tmpl w:val="0272319C"/>
    <w:lvl w:ilvl="0">
      <w:start w:val="1"/>
      <w:numFmt w:val="decimal"/>
      <w:lvlText w:val="%1."/>
      <w:lvlJc w:val="left"/>
      <w:pPr>
        <w:ind w:left="630" w:hanging="360"/>
      </w:pPr>
      <w:rPr>
        <w:rFonts w:hint="default"/>
        <w:b w:val="0"/>
        <w:i w:val="0"/>
        <w:color w:val="auto"/>
        <w:sz w:val="24"/>
        <w:szCs w:val="24"/>
      </w:rPr>
    </w:lvl>
    <w:lvl w:ilvl="1" w:tentative="1">
      <w:start w:val="1"/>
      <w:numFmt w:val="lowerLetter"/>
      <w:lvlText w:val="%2."/>
      <w:lvlJc w:val="left"/>
      <w:pPr>
        <w:ind w:left="1377" w:hanging="360"/>
      </w:pPr>
    </w:lvl>
    <w:lvl w:ilvl="2" w:tentative="1">
      <w:start w:val="1"/>
      <w:numFmt w:val="lowerRoman"/>
      <w:lvlText w:val="%3."/>
      <w:lvlJc w:val="right"/>
      <w:pPr>
        <w:ind w:left="2097" w:hanging="180"/>
      </w:pPr>
    </w:lvl>
    <w:lvl w:ilvl="3" w:tentative="1">
      <w:start w:val="1"/>
      <w:numFmt w:val="decimal"/>
      <w:lvlText w:val="%4."/>
      <w:lvlJc w:val="left"/>
      <w:pPr>
        <w:ind w:left="2817" w:hanging="360"/>
      </w:pPr>
    </w:lvl>
    <w:lvl w:ilvl="4" w:tentative="1">
      <w:start w:val="1"/>
      <w:numFmt w:val="lowerLetter"/>
      <w:lvlText w:val="%5."/>
      <w:lvlJc w:val="left"/>
      <w:pPr>
        <w:ind w:left="3537" w:hanging="360"/>
      </w:pPr>
    </w:lvl>
    <w:lvl w:ilvl="5" w:tentative="1">
      <w:start w:val="1"/>
      <w:numFmt w:val="lowerRoman"/>
      <w:lvlText w:val="%6."/>
      <w:lvlJc w:val="right"/>
      <w:pPr>
        <w:ind w:left="4257" w:hanging="180"/>
      </w:pPr>
    </w:lvl>
    <w:lvl w:ilvl="6" w:tentative="1">
      <w:start w:val="1"/>
      <w:numFmt w:val="decimal"/>
      <w:lvlText w:val="%7."/>
      <w:lvlJc w:val="left"/>
      <w:pPr>
        <w:ind w:left="4977" w:hanging="360"/>
      </w:pPr>
    </w:lvl>
    <w:lvl w:ilvl="7" w:tentative="1">
      <w:start w:val="1"/>
      <w:numFmt w:val="lowerLetter"/>
      <w:lvlText w:val="%8."/>
      <w:lvlJc w:val="left"/>
      <w:pPr>
        <w:ind w:left="5697" w:hanging="360"/>
      </w:pPr>
    </w:lvl>
    <w:lvl w:ilvl="8" w:tentative="1">
      <w:start w:val="1"/>
      <w:numFmt w:val="lowerRoman"/>
      <w:lvlText w:val="%9."/>
      <w:lvlJc w:val="right"/>
      <w:pPr>
        <w:ind w:left="6417"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1A"/>
    <w:rsid w:val="00010057"/>
    <w:rsid w:val="000232DF"/>
    <w:rsid w:val="00027F49"/>
    <w:rsid w:val="000333FF"/>
    <w:rsid w:val="0006798D"/>
    <w:rsid w:val="00092135"/>
    <w:rsid w:val="000C667A"/>
    <w:rsid w:val="000E0EAF"/>
    <w:rsid w:val="00117AF9"/>
    <w:rsid w:val="00121F58"/>
    <w:rsid w:val="001678E8"/>
    <w:rsid w:val="00170E02"/>
    <w:rsid w:val="001B2242"/>
    <w:rsid w:val="001C0CC0"/>
    <w:rsid w:val="001D3B68"/>
    <w:rsid w:val="002113BD"/>
    <w:rsid w:val="00250400"/>
    <w:rsid w:val="0025139E"/>
    <w:rsid w:val="0028631A"/>
    <w:rsid w:val="002B2F98"/>
    <w:rsid w:val="002C6057"/>
    <w:rsid w:val="002D2017"/>
    <w:rsid w:val="00305238"/>
    <w:rsid w:val="003251CE"/>
    <w:rsid w:val="003337A5"/>
    <w:rsid w:val="00337321"/>
    <w:rsid w:val="00394850"/>
    <w:rsid w:val="003B55E1"/>
    <w:rsid w:val="003C17E2"/>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7B12"/>
    <w:rsid w:val="00841282"/>
    <w:rsid w:val="008552A3"/>
    <w:rsid w:val="00882652"/>
    <w:rsid w:val="00917386"/>
    <w:rsid w:val="00957E35"/>
    <w:rsid w:val="0097702E"/>
    <w:rsid w:val="00981B9F"/>
    <w:rsid w:val="00991528"/>
    <w:rsid w:val="009A5430"/>
    <w:rsid w:val="009C15C4"/>
    <w:rsid w:val="009E380D"/>
    <w:rsid w:val="009F53F9"/>
    <w:rsid w:val="00A05391"/>
    <w:rsid w:val="00A20AC7"/>
    <w:rsid w:val="00A317A9"/>
    <w:rsid w:val="00A41149"/>
    <w:rsid w:val="00A56D57"/>
    <w:rsid w:val="00A931C3"/>
    <w:rsid w:val="00AA6C34"/>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09C4"/>
    <w:rsid w:val="00D2316E"/>
    <w:rsid w:val="00D251ED"/>
    <w:rsid w:val="00D831E4"/>
    <w:rsid w:val="00D95949"/>
    <w:rsid w:val="00D962A7"/>
    <w:rsid w:val="00DA29DB"/>
    <w:rsid w:val="00DB29E9"/>
    <w:rsid w:val="00DE34CF"/>
    <w:rsid w:val="00DF1112"/>
    <w:rsid w:val="00E040CB"/>
    <w:rsid w:val="00E1605D"/>
    <w:rsid w:val="00E32B6B"/>
    <w:rsid w:val="00E5387A"/>
    <w:rsid w:val="00E55E84"/>
    <w:rsid w:val="00EB1BF6"/>
    <w:rsid w:val="00EB68B0"/>
    <w:rsid w:val="00F4190F"/>
    <w:rsid w:val="00F5077C"/>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64FBF5"/>
  <w15:docId w15:val="{783DF685-7DB5-415F-B855-F6C8136D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library/reports-notices/special-reports/2023/energy-transition-in-pjm-resource-retirements-replacements-and-risks.ashx" TargetMode="External" /><Relationship Id="rId5" Type="http://schemas.openxmlformats.org/officeDocument/2006/relationships/hyperlink" Target="file:///\\corp\shares\home\helmm\My%20Documents\Units%20at%20Risk\&#8226;	https:\pjm.com\-\media\library\reports-notices\special-reports\2022\20220517-energy-transition-in-pjm-emerging-characteristics-of-a-decarbonizing-grid-white-paper-final.ashx" TargetMode="External" /><Relationship Id="rId6" Type="http://schemas.openxmlformats.org/officeDocument/2006/relationships/hyperlink" Target="https://pjm.com/-/media/library/reports-notices/special-reports/2021/20211215-energy-transition-in-pjm-frameworks-for-analysis.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ban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