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756FA6EB">
      <w:pPr>
        <w:pStyle w:val="MeetingDetails"/>
      </w:pPr>
      <w:r>
        <w:t xml:space="preserve">Market Implementation </w:t>
      </w:r>
      <w:r w:rsidR="002B2F98">
        <w:t>Committee</w:t>
      </w:r>
      <w:r w:rsidR="00CF27EE">
        <w:t xml:space="preserve"> Special Session: </w:t>
      </w:r>
    </w:p>
    <w:p w:rsidR="00CF27EE" w:rsidRPr="00B62597" w:rsidP="00755096" w14:paraId="576369C6" w14:textId="5F48A895">
      <w:pPr>
        <w:pStyle w:val="MeetingDetails"/>
      </w:pPr>
      <w:r>
        <w:t>CIFP Manual Page Turn</w:t>
      </w:r>
    </w:p>
    <w:p w:rsidR="00B62597" w:rsidRPr="00B62597" w:rsidP="00755096" w14:paraId="54063F49" w14:textId="4EEAF609">
      <w:pPr>
        <w:pStyle w:val="MeetingDetails"/>
      </w:pPr>
      <w:r>
        <w:t>Webex</w:t>
      </w:r>
    </w:p>
    <w:p w:rsidR="00B62597" w:rsidRPr="00B62597" w:rsidP="00755096" w14:paraId="0EB6B18F" w14:textId="3FDCE899">
      <w:pPr>
        <w:pStyle w:val="MeetingDetails"/>
      </w:pPr>
      <w:r>
        <w:t>April</w:t>
      </w:r>
      <w:r w:rsidR="009B43E9">
        <w:t xml:space="preserve"> </w:t>
      </w:r>
      <w:r w:rsidR="006F3E7D">
        <w:t>29</w:t>
      </w:r>
      <w:r w:rsidR="002B2F98">
        <w:t xml:space="preserve">, </w:t>
      </w:r>
      <w:r w:rsidR="009A764D">
        <w:t>2024</w:t>
      </w:r>
    </w:p>
    <w:p w:rsidR="00B62597" w:rsidP="00755096" w14:paraId="11C66CDB" w14:textId="7753C91B">
      <w:pPr>
        <w:pStyle w:val="MeetingDetails"/>
      </w:pPr>
      <w:r>
        <w:t>9</w:t>
      </w:r>
      <w:r w:rsidR="002B2F98">
        <w:t xml:space="preserve">:00 </w:t>
      </w:r>
      <w:r>
        <w:t>a</w:t>
      </w:r>
      <w:r w:rsidR="002B2F98">
        <w:t>.m. –</w:t>
      </w:r>
      <w:r w:rsidR="00EA3F2D">
        <w:t xml:space="preserve"> </w:t>
      </w:r>
      <w:r>
        <w:t>12</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5C6BFA77">
      <w:pPr>
        <w:pStyle w:val="PrimaryHeading"/>
        <w:rPr>
          <w:caps/>
        </w:rPr>
      </w:pPr>
      <w:bookmarkStart w:id="0" w:name="OLE_LINK5"/>
      <w:bookmarkStart w:id="1" w:name="OLE_LINK3"/>
      <w:r w:rsidRPr="00527104">
        <w:t>Adm</w:t>
      </w:r>
      <w:r w:rsidRPr="007C2954">
        <w:t>inistrati</w:t>
      </w:r>
      <w:r w:rsidR="004E4CE5">
        <w:t>on (</w:t>
      </w:r>
      <w:r w:rsidR="003059EF">
        <w:t>9</w:t>
      </w:r>
      <w:r w:rsidR="00205DA7">
        <w:t xml:space="preserve">:00 – </w:t>
      </w:r>
      <w:r w:rsidR="003059EF">
        <w:t>9</w:t>
      </w:r>
      <w:r w:rsidRPr="00527104">
        <w:t>:0</w:t>
      </w:r>
      <w:r w:rsidR="004E4CE5">
        <w:t>5</w:t>
      </w:r>
      <w:r w:rsidRPr="00527104">
        <w:t>)</w:t>
      </w:r>
    </w:p>
    <w:bookmarkEnd w:id="0"/>
    <w:bookmarkEnd w:id="1"/>
    <w:p w:rsidR="00B16A05" w:rsidRPr="006F3E7D" w:rsidP="006F3E7D" w14:paraId="32B5E207" w14:textId="19319268">
      <w:pPr>
        <w:pStyle w:val="SecondaryHeading-Numbered"/>
        <w:numPr>
          <w:ilvl w:val="0"/>
          <w:numId w:val="0"/>
        </w:numPr>
        <w:tabs>
          <w:tab w:val="clear" w:pos="0"/>
          <w:tab w:val="left" w:pos="360"/>
        </w:tabs>
        <w:rPr>
          <w:b w:val="0"/>
        </w:rPr>
      </w:pPr>
      <w:r>
        <w:rPr>
          <w:b w:val="0"/>
        </w:rPr>
        <w:t>Johnathan Ruffin, PJM,</w:t>
      </w:r>
      <w:r w:rsidR="006F3E7D">
        <w:rPr>
          <w:b w:val="0"/>
        </w:rPr>
        <w:t xml:space="preserve"> </w:t>
      </w:r>
      <w:r w:rsidR="008C275E">
        <w:rPr>
          <w:b w:val="0"/>
        </w:rPr>
        <w:t>will review the Antitrust, Code of Conduct, Public Meetings/Media Participation and WebEx Participant Identification Requirements.</w:t>
      </w:r>
    </w:p>
    <w:p w:rsidR="007C3AEF" w:rsidP="00612213" w14:paraId="7B95B0A0" w14:textId="2837E9A2">
      <w:pPr>
        <w:pStyle w:val="PrimaryHeading"/>
      </w:pPr>
      <w:r>
        <w:t>Manual Review</w:t>
      </w:r>
      <w:r w:rsidR="003059EF">
        <w:t xml:space="preserve"> (9:05 – 12:00)</w:t>
      </w:r>
    </w:p>
    <w:p w:rsidR="00B65A9F" w:rsidP="00B65A9F" w14:paraId="16976BBA" w14:textId="77777777">
      <w:pPr>
        <w:pStyle w:val="ListSubhead1"/>
        <w:numPr>
          <w:ilvl w:val="0"/>
          <w:numId w:val="15"/>
        </w:numPr>
        <w:spacing w:after="0"/>
        <w:contextualSpacing/>
        <w:rPr>
          <w:b w:val="0"/>
        </w:rPr>
      </w:pPr>
      <w:r>
        <w:rPr>
          <w:b w:val="0"/>
        </w:rPr>
        <w:t xml:space="preserve">Skyler Marzewski, PJM, will review revisions to Manual 18: PJM Capacity Market. </w:t>
      </w:r>
    </w:p>
    <w:p w:rsidR="00B65A9F" w:rsidP="00B65A9F" w14:paraId="64F284ED" w14:textId="77777777">
      <w:pPr>
        <w:pStyle w:val="ListSubhead1"/>
        <w:numPr>
          <w:ilvl w:val="0"/>
          <w:numId w:val="0"/>
        </w:numPr>
        <w:spacing w:after="0"/>
        <w:ind w:left="360"/>
        <w:contextualSpacing/>
        <w:rPr>
          <w:b w:val="0"/>
        </w:rPr>
      </w:pPr>
    </w:p>
    <w:p w:rsidR="00BC36D8" w:rsidP="00CF27EE" w14:paraId="5C2AA10D" w14:textId="0E18B55E">
      <w:pPr>
        <w:pStyle w:val="ListSubhead1"/>
        <w:numPr>
          <w:ilvl w:val="0"/>
          <w:numId w:val="15"/>
        </w:numPr>
        <w:spacing w:after="0"/>
        <w:contextualSpacing/>
        <w:rPr>
          <w:b w:val="0"/>
        </w:rPr>
      </w:pPr>
      <w:r>
        <w:rPr>
          <w:b w:val="0"/>
        </w:rPr>
        <w:t xml:space="preserve">Pat Bruno, PJM, will review revisions to Manual 33: </w:t>
      </w:r>
      <w:r w:rsidR="003059EF">
        <w:rPr>
          <w:b w:val="0"/>
        </w:rPr>
        <w:t>Administrative Services for PJM Interconnection Agreement.</w:t>
      </w:r>
    </w:p>
    <w:p w:rsidR="006F3E7D" w:rsidP="006F3E7D" w14:paraId="140B83AF" w14:textId="77777777">
      <w:pPr>
        <w:pStyle w:val="ListParagraph"/>
        <w:rPr>
          <w:b/>
        </w:rPr>
      </w:pPr>
    </w:p>
    <w:p w:rsidR="006F3E7D" w:rsidRPr="003059EF" w:rsidP="003059EF" w14:paraId="1B1FB769" w14:textId="4ABE1486">
      <w:pPr>
        <w:pStyle w:val="ListSubhead1"/>
        <w:numPr>
          <w:ilvl w:val="0"/>
          <w:numId w:val="15"/>
        </w:numPr>
        <w:spacing w:after="0"/>
        <w:contextualSpacing/>
        <w:rPr>
          <w:b w:val="0"/>
        </w:rPr>
      </w:pPr>
      <w:r>
        <w:rPr>
          <w:b w:val="0"/>
        </w:rPr>
        <w:t>Josh</w:t>
      </w:r>
      <w:r w:rsidR="006B0D87">
        <w:rPr>
          <w:b w:val="0"/>
        </w:rPr>
        <w:t xml:space="preserve"> Bruno, Patricio Rocha-Garrido </w:t>
      </w:r>
      <w:bookmarkStart w:id="2" w:name="_GoBack"/>
      <w:bookmarkEnd w:id="2"/>
      <w:r>
        <w:rPr>
          <w:b w:val="0"/>
        </w:rPr>
        <w:t xml:space="preserve">and Andrew Gledhill, PJM, will </w:t>
      </w:r>
      <w:r w:rsidR="00B65A9F">
        <w:rPr>
          <w:b w:val="0"/>
        </w:rPr>
        <w:t xml:space="preserve">introduce Manual 20A and Manual 21B as new manuals and </w:t>
      </w:r>
      <w:r>
        <w:rPr>
          <w:b w:val="0"/>
        </w:rPr>
        <w:t>review</w:t>
      </w:r>
      <w:r w:rsidR="003059EF">
        <w:rPr>
          <w:b w:val="0"/>
        </w:rPr>
        <w:t xml:space="preserve"> revisions to Manual 14B. </w:t>
      </w:r>
    </w:p>
    <w:p w:rsidR="003059EF" w:rsidP="006F3E7D" w14:paraId="238CEC5C" w14:textId="00D70A5F">
      <w:pPr>
        <w:pStyle w:val="ListSubhead1"/>
        <w:numPr>
          <w:ilvl w:val="1"/>
          <w:numId w:val="15"/>
        </w:numPr>
        <w:spacing w:after="0"/>
        <w:contextualSpacing/>
        <w:rPr>
          <w:b w:val="0"/>
        </w:rPr>
      </w:pPr>
      <w:r>
        <w:rPr>
          <w:b w:val="0"/>
        </w:rPr>
        <w:t xml:space="preserve">Manual 20A: </w:t>
      </w:r>
      <w:r w:rsidR="00953839">
        <w:rPr>
          <w:b w:val="0"/>
        </w:rPr>
        <w:t>PJM Resource Adequacy Analysis</w:t>
      </w:r>
    </w:p>
    <w:p w:rsidR="003059EF" w:rsidP="006F3E7D" w14:paraId="4BA3748D" w14:textId="0FB0C386">
      <w:pPr>
        <w:pStyle w:val="ListSubhead1"/>
        <w:numPr>
          <w:ilvl w:val="1"/>
          <w:numId w:val="15"/>
        </w:numPr>
        <w:spacing w:after="0"/>
        <w:contextualSpacing/>
        <w:rPr>
          <w:b w:val="0"/>
        </w:rPr>
      </w:pPr>
      <w:r>
        <w:rPr>
          <w:b w:val="0"/>
        </w:rPr>
        <w:t>Manual 21B: PJM Rules and Procedures for Determination of Generating Capability</w:t>
      </w:r>
    </w:p>
    <w:p w:rsidR="00B65A9F" w:rsidRPr="00B65A9F" w:rsidP="00B65A9F" w14:paraId="0B49A408" w14:textId="6130E3B7">
      <w:pPr>
        <w:pStyle w:val="ListSubhead1"/>
        <w:numPr>
          <w:ilvl w:val="1"/>
          <w:numId w:val="15"/>
        </w:numPr>
        <w:spacing w:after="0"/>
        <w:contextualSpacing/>
        <w:rPr>
          <w:b w:val="0"/>
        </w:rPr>
      </w:pPr>
      <w:r>
        <w:rPr>
          <w:b w:val="0"/>
        </w:rPr>
        <w:t>Manual 14B: Regional Transmission Planning Process</w:t>
      </w:r>
    </w:p>
    <w:p w:rsidR="006F3E7D" w:rsidP="006F3E7D" w14:paraId="779B2581" w14:textId="7A8D34B5">
      <w:pPr>
        <w:pStyle w:val="ListSubhead1"/>
        <w:numPr>
          <w:ilvl w:val="0"/>
          <w:numId w:val="0"/>
        </w:numPr>
        <w:spacing w:after="0"/>
        <w:ind w:left="360" w:hanging="360"/>
        <w:contextualSpacing/>
        <w:rPr>
          <w:b w:val="0"/>
        </w:rPr>
      </w:pPr>
    </w:p>
    <w:p w:rsidR="006F3E7D" w:rsidP="006F3E7D" w14:paraId="162BF86C" w14:textId="3C8CEAA6">
      <w:pPr>
        <w:pStyle w:val="ListSubhead1"/>
        <w:numPr>
          <w:ilvl w:val="0"/>
          <w:numId w:val="0"/>
        </w:numPr>
        <w:spacing w:after="0"/>
        <w:ind w:left="360" w:hanging="360"/>
        <w:contextualSpacing/>
        <w:jc w:val="center"/>
        <w:rPr>
          <w:b w:val="0"/>
        </w:rPr>
      </w:pPr>
      <w:hyperlink r:id="rId5" w:history="1">
        <w:r w:rsidRPr="006F3E7D">
          <w:rPr>
            <w:rStyle w:val="Hyperlink"/>
            <w:b w:val="0"/>
          </w:rPr>
          <w:t>Issue Tracking: Capacity Market Reform</w:t>
        </w:r>
      </w:hyperlink>
    </w:p>
    <w:p w:rsidR="00D95C79" w:rsidP="007C3AEF" w14:paraId="1D7BFFC0" w14:textId="5E201C94">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4A3403">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auto"/>
          </w:tcPr>
          <w:p w:rsidR="00672C0C" w:rsidRPr="004A3403" w:rsidP="006F3E7D" w14:paraId="14279E6E" w14:textId="57485BE1">
            <w:pPr>
              <w:pStyle w:val="DisclaimerHeading"/>
              <w:keepLines/>
              <w:spacing w:before="40" w:after="40" w:line="220" w:lineRule="exact"/>
              <w:jc w:val="left"/>
              <w:rPr>
                <w:b w:val="0"/>
                <w:i w:val="0"/>
                <w:iCs w:val="0"/>
                <w:color w:val="auto"/>
                <w:sz w:val="18"/>
                <w:szCs w:val="18"/>
              </w:rPr>
            </w:pPr>
          </w:p>
        </w:tc>
        <w:tc>
          <w:tcPr>
            <w:tcW w:w="983" w:type="dxa"/>
            <w:tcBorders>
              <w:top w:val="single" w:sz="4" w:space="0" w:color="auto"/>
              <w:bottom w:val="single" w:sz="4" w:space="0" w:color="auto"/>
              <w:right w:val="single" w:sz="4" w:space="0" w:color="auto"/>
            </w:tcBorders>
            <w:shd w:val="clear" w:color="auto" w:fill="auto"/>
          </w:tcPr>
          <w:p w:rsidR="00672C0C" w:rsidRPr="004A3403" w:rsidP="006F3E7D" w14:paraId="4EF5ACF7" w14:textId="5F6BD864">
            <w:pPr>
              <w:pStyle w:val="DisclaimerHeading"/>
              <w:keepLines/>
              <w:spacing w:before="40" w:after="40" w:line="220" w:lineRule="exact"/>
              <w:rPr>
                <w:b w:val="0"/>
                <w:iCs/>
                <w:color w:val="auto"/>
                <w:sz w:val="18"/>
                <w:szCs w:val="18"/>
              </w:rPr>
            </w:pPr>
          </w:p>
        </w:tc>
        <w:tc>
          <w:tcPr>
            <w:tcW w:w="3756" w:type="dxa"/>
            <w:tcBorders>
              <w:top w:val="single" w:sz="4" w:space="0" w:color="auto"/>
              <w:bottom w:val="single" w:sz="4" w:space="0" w:color="auto"/>
              <w:right w:val="single" w:sz="4" w:space="0" w:color="auto"/>
            </w:tcBorders>
            <w:shd w:val="clear" w:color="auto" w:fill="auto"/>
          </w:tcPr>
          <w:p w:rsidR="00672C0C" w:rsidRPr="004A3403" w:rsidP="00CF27EE" w14:paraId="41F952C0" w14:textId="705BAF52">
            <w:pPr>
              <w:pStyle w:val="DisclaimerHeading"/>
              <w:keepLines/>
              <w:spacing w:before="40" w:after="40" w:line="220" w:lineRule="exact"/>
              <w:jc w:val="center"/>
              <w:rPr>
                <w:b w:val="0"/>
                <w:iCs/>
                <w:color w:val="auto"/>
                <w:sz w:val="18"/>
                <w:szCs w:val="18"/>
              </w:rPr>
            </w:pPr>
            <w:r>
              <w:rPr>
                <w:b w:val="0"/>
                <w:iCs/>
                <w:color w:val="auto"/>
                <w:sz w:val="18"/>
                <w:szCs w:val="18"/>
              </w:rPr>
              <w:t>No future meetings scheduled</w:t>
            </w:r>
          </w:p>
        </w:tc>
        <w:tc>
          <w:tcPr>
            <w:tcW w:w="1816" w:type="dxa"/>
            <w:tcBorders>
              <w:top w:val="single" w:sz="4" w:space="0" w:color="auto"/>
              <w:bottom w:val="single" w:sz="4" w:space="0" w:color="auto"/>
              <w:right w:val="single" w:sz="4" w:space="0" w:color="auto"/>
            </w:tcBorders>
            <w:shd w:val="clear" w:color="auto" w:fill="auto"/>
          </w:tcPr>
          <w:p w:rsidR="00672C0C" w:rsidRPr="004A3403" w:rsidP="00CF27EE" w14:paraId="14E8737C" w14:textId="3979B2F8">
            <w:pPr>
              <w:pStyle w:val="DisclaimerHeading"/>
              <w:keepLines/>
              <w:spacing w:before="40" w:after="40" w:line="220" w:lineRule="exact"/>
              <w:jc w:val="center"/>
              <w:rPr>
                <w:b w:val="0"/>
                <w:iCs/>
                <w:color w:val="auto"/>
                <w:sz w:val="18"/>
                <w:szCs w:val="18"/>
              </w:rPr>
            </w:pPr>
          </w:p>
        </w:tc>
        <w:tc>
          <w:tcPr>
            <w:tcW w:w="1529" w:type="dxa"/>
            <w:tcBorders>
              <w:top w:val="single" w:sz="4" w:space="0" w:color="auto"/>
              <w:bottom w:val="single" w:sz="4" w:space="0" w:color="auto"/>
              <w:right w:val="single" w:sz="4" w:space="0" w:color="auto"/>
            </w:tcBorders>
            <w:shd w:val="clear" w:color="auto" w:fill="auto"/>
          </w:tcPr>
          <w:p w:rsidR="00672C0C" w:rsidRPr="004A3403" w:rsidP="006F3E7D" w14:paraId="1618331B" w14:textId="7D2DE41C">
            <w:pPr>
              <w:pStyle w:val="DisclaimerHeading"/>
              <w:keepLines/>
              <w:spacing w:before="40" w:after="40" w:line="220" w:lineRule="exact"/>
              <w:rPr>
                <w:b w:val="0"/>
                <w:color w:val="auto"/>
                <w:sz w:val="18"/>
                <w:szCs w:val="18"/>
              </w:rPr>
            </w:pP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6340B3D9">
      <w:pPr>
        <w:pStyle w:val="Author"/>
      </w:pPr>
      <w:r>
        <w:t xml:space="preserve">Author: </w:t>
      </w:r>
      <w:r w:rsidR="00E0451F">
        <w:t>A.</w:t>
      </w:r>
      <w:r w:rsidR="00B62962">
        <w:t xml:space="preserve">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6"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1"/>
      <w:footerReference w:type="even" r:id="rId12"/>
      <w:footerReference w:type="default" r:id="rId13"/>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7A1CF9F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0D87">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1D6B8D1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6F3E7D">
      <w:rPr>
        <w:sz w:val="16"/>
      </w:rPr>
      <w:t>April 24</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9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26"/>
    <w:rsid w:val="00014CBA"/>
    <w:rsid w:val="000232DF"/>
    <w:rsid w:val="0002468B"/>
    <w:rsid w:val="00027F49"/>
    <w:rsid w:val="000333FF"/>
    <w:rsid w:val="00047686"/>
    <w:rsid w:val="0006798D"/>
    <w:rsid w:val="00081175"/>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240D7"/>
    <w:rsid w:val="001363BC"/>
    <w:rsid w:val="00140A75"/>
    <w:rsid w:val="001418FB"/>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3C15"/>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059EF"/>
    <w:rsid w:val="003103EC"/>
    <w:rsid w:val="00320B8C"/>
    <w:rsid w:val="003251CE"/>
    <w:rsid w:val="0033049B"/>
    <w:rsid w:val="00334877"/>
    <w:rsid w:val="00337321"/>
    <w:rsid w:val="0036208E"/>
    <w:rsid w:val="00366447"/>
    <w:rsid w:val="003910C6"/>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A3403"/>
    <w:rsid w:val="004B14FF"/>
    <w:rsid w:val="004E20DF"/>
    <w:rsid w:val="004E4CE5"/>
    <w:rsid w:val="004F4723"/>
    <w:rsid w:val="004F6A01"/>
    <w:rsid w:val="00500CCB"/>
    <w:rsid w:val="00500F8F"/>
    <w:rsid w:val="00523049"/>
    <w:rsid w:val="00526770"/>
    <w:rsid w:val="00527104"/>
    <w:rsid w:val="00540E82"/>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2C0C"/>
    <w:rsid w:val="00676226"/>
    <w:rsid w:val="00681CC9"/>
    <w:rsid w:val="00693862"/>
    <w:rsid w:val="006B0D87"/>
    <w:rsid w:val="006B3D14"/>
    <w:rsid w:val="006C738F"/>
    <w:rsid w:val="006D558D"/>
    <w:rsid w:val="006D6838"/>
    <w:rsid w:val="006E3FFB"/>
    <w:rsid w:val="006E50CB"/>
    <w:rsid w:val="006F178A"/>
    <w:rsid w:val="006F2903"/>
    <w:rsid w:val="006F3E7D"/>
    <w:rsid w:val="006F5AA3"/>
    <w:rsid w:val="006F7A52"/>
    <w:rsid w:val="00706989"/>
    <w:rsid w:val="00711249"/>
    <w:rsid w:val="00712CAA"/>
    <w:rsid w:val="00713BB2"/>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6508"/>
    <w:rsid w:val="00837B12"/>
    <w:rsid w:val="00841282"/>
    <w:rsid w:val="008449CB"/>
    <w:rsid w:val="008552A3"/>
    <w:rsid w:val="00865530"/>
    <w:rsid w:val="008755CE"/>
    <w:rsid w:val="00877E3E"/>
    <w:rsid w:val="00882652"/>
    <w:rsid w:val="00891E60"/>
    <w:rsid w:val="008920E5"/>
    <w:rsid w:val="008949F3"/>
    <w:rsid w:val="008969B9"/>
    <w:rsid w:val="008A30AB"/>
    <w:rsid w:val="008A4068"/>
    <w:rsid w:val="008A49F8"/>
    <w:rsid w:val="008B0F5B"/>
    <w:rsid w:val="008B32F0"/>
    <w:rsid w:val="008B71C2"/>
    <w:rsid w:val="008C275E"/>
    <w:rsid w:val="008C3FAC"/>
    <w:rsid w:val="008C7968"/>
    <w:rsid w:val="008D52B8"/>
    <w:rsid w:val="008E5786"/>
    <w:rsid w:val="008E7EA0"/>
    <w:rsid w:val="008F371C"/>
    <w:rsid w:val="008F6194"/>
    <w:rsid w:val="00903597"/>
    <w:rsid w:val="00904444"/>
    <w:rsid w:val="009159C2"/>
    <w:rsid w:val="00917386"/>
    <w:rsid w:val="00917DAB"/>
    <w:rsid w:val="0093284F"/>
    <w:rsid w:val="00933ECC"/>
    <w:rsid w:val="00936D3F"/>
    <w:rsid w:val="00953839"/>
    <w:rsid w:val="0097702E"/>
    <w:rsid w:val="00991528"/>
    <w:rsid w:val="009A5430"/>
    <w:rsid w:val="009A5F56"/>
    <w:rsid w:val="009A764D"/>
    <w:rsid w:val="009B43E9"/>
    <w:rsid w:val="009C15C4"/>
    <w:rsid w:val="009C1737"/>
    <w:rsid w:val="009C4174"/>
    <w:rsid w:val="009D1CB5"/>
    <w:rsid w:val="009F1E5D"/>
    <w:rsid w:val="009F22CD"/>
    <w:rsid w:val="009F53F9"/>
    <w:rsid w:val="00A05391"/>
    <w:rsid w:val="00A10427"/>
    <w:rsid w:val="00A11B6F"/>
    <w:rsid w:val="00A17F46"/>
    <w:rsid w:val="00A317A9"/>
    <w:rsid w:val="00A336DB"/>
    <w:rsid w:val="00A33BF6"/>
    <w:rsid w:val="00A41149"/>
    <w:rsid w:val="00A43A84"/>
    <w:rsid w:val="00A50F50"/>
    <w:rsid w:val="00A5156B"/>
    <w:rsid w:val="00A53210"/>
    <w:rsid w:val="00A56D57"/>
    <w:rsid w:val="00A60133"/>
    <w:rsid w:val="00A61BB7"/>
    <w:rsid w:val="00A646B1"/>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42DA7"/>
    <w:rsid w:val="00B545EA"/>
    <w:rsid w:val="00B600EB"/>
    <w:rsid w:val="00B602D8"/>
    <w:rsid w:val="00B60ADA"/>
    <w:rsid w:val="00B6157B"/>
    <w:rsid w:val="00B62597"/>
    <w:rsid w:val="00B627E6"/>
    <w:rsid w:val="00B62962"/>
    <w:rsid w:val="00B65A9F"/>
    <w:rsid w:val="00B745EE"/>
    <w:rsid w:val="00B75908"/>
    <w:rsid w:val="00B82CC3"/>
    <w:rsid w:val="00B84A91"/>
    <w:rsid w:val="00B875C8"/>
    <w:rsid w:val="00BA6146"/>
    <w:rsid w:val="00BB4915"/>
    <w:rsid w:val="00BB531B"/>
    <w:rsid w:val="00BB6921"/>
    <w:rsid w:val="00BC159D"/>
    <w:rsid w:val="00BC36D8"/>
    <w:rsid w:val="00BC44BA"/>
    <w:rsid w:val="00BC5311"/>
    <w:rsid w:val="00BD0854"/>
    <w:rsid w:val="00BE3822"/>
    <w:rsid w:val="00BF0C90"/>
    <w:rsid w:val="00BF331B"/>
    <w:rsid w:val="00C0168F"/>
    <w:rsid w:val="00C05CE1"/>
    <w:rsid w:val="00C10A93"/>
    <w:rsid w:val="00C137B6"/>
    <w:rsid w:val="00C1767D"/>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27E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41AA"/>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0451F"/>
    <w:rsid w:val="00E1605D"/>
    <w:rsid w:val="00E1739E"/>
    <w:rsid w:val="00E17884"/>
    <w:rsid w:val="00E24727"/>
    <w:rsid w:val="00E3139F"/>
    <w:rsid w:val="00E32B6B"/>
    <w:rsid w:val="00E362A5"/>
    <w:rsid w:val="00E4348C"/>
    <w:rsid w:val="00E5387A"/>
    <w:rsid w:val="00E55E84"/>
    <w:rsid w:val="00E626BB"/>
    <w:rsid w:val="00E77D72"/>
    <w:rsid w:val="00E84898"/>
    <w:rsid w:val="00EA3F2D"/>
    <w:rsid w:val="00EA7071"/>
    <w:rsid w:val="00EB68B0"/>
    <w:rsid w:val="00EB7A58"/>
    <w:rsid w:val="00EC298B"/>
    <w:rsid w:val="00ED71E0"/>
    <w:rsid w:val="00EE4D8F"/>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D4174"/>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d0505dad-6dca-43b3-9334-bd8aba2a16e9"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FB1AFAB-B57D-49BB-9090-58B95B97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