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756FA6EB">
      <w:pPr>
        <w:pStyle w:val="MeetingDetails"/>
      </w:pPr>
      <w:r>
        <w:t xml:space="preserve">Market Implementation </w:t>
      </w:r>
      <w:r w:rsidR="002B2F98">
        <w:t>Committee</w:t>
      </w:r>
      <w:r w:rsidR="00CF27EE">
        <w:t xml:space="preserve"> Special Session: </w:t>
      </w:r>
    </w:p>
    <w:p w:rsidR="00CF27EE" w:rsidRPr="00B62597" w:rsidP="00755096" w14:paraId="576369C6" w14:textId="1D69A46D">
      <w:pPr>
        <w:pStyle w:val="MeetingDetails"/>
      </w:pPr>
      <w:r>
        <w:t>Evaluation of Energy Efficiency Resources</w:t>
      </w:r>
    </w:p>
    <w:p w:rsidR="00B62597" w:rsidRPr="00B62597" w:rsidP="00755096" w14:paraId="54063F49" w14:textId="4EEAF609">
      <w:pPr>
        <w:pStyle w:val="MeetingDetails"/>
      </w:pPr>
      <w:r>
        <w:t>Webex</w:t>
      </w:r>
    </w:p>
    <w:p w:rsidR="00B62597" w:rsidRPr="00B62597" w:rsidP="00755096" w14:paraId="0EB6B18F" w14:textId="41715051">
      <w:pPr>
        <w:pStyle w:val="MeetingDetails"/>
      </w:pPr>
      <w:r>
        <w:t>April</w:t>
      </w:r>
      <w:r w:rsidR="009B43E9">
        <w:t xml:space="preserve"> </w:t>
      </w:r>
      <w:r>
        <w:t>1</w:t>
      </w:r>
      <w:r w:rsidR="00FD4174">
        <w:t>1</w:t>
      </w:r>
      <w:r w:rsidR="002B2F98">
        <w:t xml:space="preserve">, </w:t>
      </w:r>
      <w:r w:rsidR="009A764D">
        <w:t>2024</w:t>
      </w:r>
    </w:p>
    <w:p w:rsidR="00B62597" w:rsidP="00755096" w14:paraId="11C66CDB" w14:textId="754F1A39">
      <w:pPr>
        <w:pStyle w:val="MeetingDetails"/>
      </w:pPr>
      <w:r>
        <w:t>1</w:t>
      </w:r>
      <w:r w:rsidR="002B2F98">
        <w:t xml:space="preserve">:00 </w:t>
      </w:r>
      <w:r>
        <w:t>p</w:t>
      </w:r>
      <w:r w:rsidR="002B2F98">
        <w:t>.m. –</w:t>
      </w:r>
      <w:r w:rsidR="00EA3F2D">
        <w:t xml:space="preserve"> </w:t>
      </w:r>
      <w:r>
        <w:t>4</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2AC1587C">
      <w:pPr>
        <w:pStyle w:val="PrimaryHeading"/>
        <w:rPr>
          <w:caps/>
        </w:rPr>
      </w:pPr>
      <w:bookmarkStart w:id="0" w:name="OLE_LINK5"/>
      <w:bookmarkStart w:id="1" w:name="OLE_LINK3"/>
      <w:r w:rsidRPr="00527104">
        <w:t>Adm</w:t>
      </w:r>
      <w:r w:rsidRPr="007C2954">
        <w:t>inistrati</w:t>
      </w:r>
      <w:r w:rsidR="004E4CE5">
        <w:t>on (</w:t>
      </w:r>
      <w:r w:rsidR="00E0451F">
        <w:t>1</w:t>
      </w:r>
      <w:r w:rsidR="00205DA7">
        <w:t xml:space="preserve">:00 – </w:t>
      </w:r>
      <w:r w:rsidR="00E0451F">
        <w:t>1</w:t>
      </w:r>
      <w:r w:rsidRPr="00527104">
        <w:t>:0</w:t>
      </w:r>
      <w:r w:rsidR="004E4CE5">
        <w:t>5</w:t>
      </w:r>
      <w:r w:rsidRPr="00527104">
        <w:t>)</w:t>
      </w:r>
    </w:p>
    <w:bookmarkEnd w:id="0"/>
    <w:bookmarkEnd w:id="1"/>
    <w:p w:rsidR="00713BB2" w:rsidP="003910C6" w14:paraId="1ACA08DC" w14:textId="5DD3C6A3">
      <w:pPr>
        <w:pStyle w:val="SecondaryHeading-Numbered"/>
        <w:numPr>
          <w:ilvl w:val="0"/>
          <w:numId w:val="0"/>
        </w:numPr>
        <w:tabs>
          <w:tab w:val="clear" w:pos="0"/>
          <w:tab w:val="left" w:pos="360"/>
        </w:tabs>
        <w:rPr>
          <w:b w:val="0"/>
        </w:rPr>
      </w:pPr>
      <w:r>
        <w:rPr>
          <w:b w:val="0"/>
        </w:rPr>
        <w:t>Sean McNamara</w:t>
      </w:r>
      <w:r w:rsidR="008A4068">
        <w:rPr>
          <w:b w:val="0"/>
        </w:rPr>
        <w:t>, PJM,</w:t>
      </w:r>
      <w:r w:rsidR="008C275E">
        <w:rPr>
          <w:b w:val="0"/>
        </w:rPr>
        <w:t xml:space="preserve"> will review the Antitrust, Code of Conduct, Public Meetings/Media Participation and WebEx Participant Identification Requirements.</w:t>
      </w:r>
    </w:p>
    <w:p w:rsidR="00713BB2" w:rsidRPr="00B6157B" w:rsidP="00B6157B" w14:paraId="5B96FAC0" w14:textId="1A68FF99">
      <w:pPr>
        <w:pStyle w:val="PrimaryHeading"/>
      </w:pPr>
      <w:r>
        <w:t>Education (</w:t>
      </w:r>
      <w:r w:rsidR="00E0451F">
        <w:t>1:05 – 2:05</w:t>
      </w:r>
      <w:r>
        <w:t>)</w:t>
      </w:r>
    </w:p>
    <w:p w:rsidR="003910C6" w:rsidRPr="003910C6" w:rsidP="003910C6" w14:paraId="7E6EEF75" w14:textId="49F7932E">
      <w:pPr>
        <w:pStyle w:val="ListSubhead1"/>
        <w:numPr>
          <w:ilvl w:val="0"/>
          <w:numId w:val="15"/>
        </w:numPr>
        <w:spacing w:after="0"/>
        <w:contextualSpacing/>
        <w:rPr>
          <w:b w:val="0"/>
        </w:rPr>
      </w:pPr>
      <w:r>
        <w:rPr>
          <w:b w:val="0"/>
        </w:rPr>
        <w:t>Joe Bowring will present education on the timing of state’s Technical Reference Manuals (TRM)</w:t>
      </w:r>
      <w:r w:rsidR="00B6157B">
        <w:rPr>
          <w:b w:val="0"/>
        </w:rPr>
        <w:t xml:space="preserve"> and the costs and allocation of energy efficiency</w:t>
      </w:r>
      <w:r>
        <w:rPr>
          <w:b w:val="0"/>
        </w:rPr>
        <w:t>.</w:t>
      </w:r>
    </w:p>
    <w:p w:rsidR="00B16A05" w:rsidRPr="00DF106D" w:rsidP="00B16A05" w14:paraId="32B5E207" w14:textId="0A0AA24A">
      <w:pPr>
        <w:pStyle w:val="DisclaimerBodyCopy"/>
      </w:pPr>
    </w:p>
    <w:p w:rsidR="007C3AEF" w:rsidP="00612213" w14:paraId="7B95B0A0" w14:textId="12519CFE">
      <w:pPr>
        <w:pStyle w:val="PrimaryHeading"/>
      </w:pPr>
      <w:r>
        <w:t>Consensus-Based Issue Resolution</w:t>
      </w:r>
      <w:r w:rsidR="00EA3F2D">
        <w:t xml:space="preserve"> </w:t>
      </w:r>
      <w:r w:rsidR="007829E0">
        <w:t>(</w:t>
      </w:r>
      <w:r w:rsidR="00E0451F">
        <w:t>2:05 – 4</w:t>
      </w:r>
      <w:r w:rsidR="00630D21">
        <w:t>:</w:t>
      </w:r>
      <w:r>
        <w:t>0</w:t>
      </w:r>
      <w:r w:rsidR="00630D21">
        <w:t>0</w:t>
      </w:r>
      <w:r w:rsidR="00F75DBA">
        <w:t>)</w:t>
      </w:r>
    </w:p>
    <w:p w:rsidR="00BC36D8" w:rsidP="00CF27EE" w14:paraId="5C2AA10D" w14:textId="3B8DF701">
      <w:pPr>
        <w:pStyle w:val="ListSubhead1"/>
        <w:numPr>
          <w:ilvl w:val="0"/>
          <w:numId w:val="15"/>
        </w:numPr>
        <w:spacing w:after="0"/>
        <w:contextualSpacing/>
        <w:rPr>
          <w:b w:val="0"/>
        </w:rPr>
      </w:pPr>
      <w:r>
        <w:rPr>
          <w:b w:val="0"/>
        </w:rPr>
        <w:t>Pete Langbein</w:t>
      </w:r>
      <w:r>
        <w:rPr>
          <w:b w:val="0"/>
        </w:rPr>
        <w:t xml:space="preserve"> will present potential solution options.</w:t>
      </w:r>
    </w:p>
    <w:p w:rsidR="00223C15" w:rsidP="00223C15" w14:paraId="0AEF4477" w14:textId="77777777">
      <w:pPr>
        <w:pStyle w:val="ListSubhead1"/>
        <w:numPr>
          <w:ilvl w:val="0"/>
          <w:numId w:val="0"/>
        </w:numPr>
        <w:spacing w:after="0"/>
        <w:ind w:left="360"/>
        <w:contextualSpacing/>
        <w:rPr>
          <w:b w:val="0"/>
        </w:rPr>
      </w:pPr>
    </w:p>
    <w:p w:rsidR="00223C15" w:rsidRPr="00E0451F" w:rsidP="00E0451F" w14:paraId="17F3F9BD" w14:textId="423D651B">
      <w:pPr>
        <w:pStyle w:val="ListSubhead1"/>
        <w:numPr>
          <w:ilvl w:val="0"/>
          <w:numId w:val="15"/>
        </w:numPr>
        <w:spacing w:after="0"/>
        <w:contextualSpacing/>
        <w:rPr>
          <w:b w:val="0"/>
        </w:rPr>
      </w:pPr>
      <w:r>
        <w:rPr>
          <w:b w:val="0"/>
        </w:rPr>
        <w:t>Foluso Afelumo</w:t>
      </w:r>
      <w:r w:rsidR="00C26A61">
        <w:rPr>
          <w:b w:val="0"/>
        </w:rPr>
        <w:t xml:space="preserve"> will lead a discussion on</w:t>
      </w:r>
      <w:r w:rsidR="00B6157B">
        <w:rPr>
          <w:b w:val="0"/>
        </w:rPr>
        <w:t xml:space="preserve"> design components &amp;</w:t>
      </w:r>
      <w:r w:rsidR="00FB5ED9">
        <w:rPr>
          <w:b w:val="0"/>
        </w:rPr>
        <w:t xml:space="preserve"> solution optio</w:t>
      </w:r>
      <w:bookmarkStart w:id="2" w:name="_GoBack"/>
      <w:bookmarkEnd w:id="2"/>
      <w:r w:rsidR="00FB5ED9">
        <w:rPr>
          <w:b w:val="0"/>
        </w:rPr>
        <w:t>ns</w:t>
      </w:r>
      <w:r w:rsidR="00C26A61">
        <w:rPr>
          <w:b w:val="0"/>
        </w:rPr>
        <w:t xml:space="preserve"> within the matrix.</w:t>
      </w:r>
      <w:r w:rsidRPr="00E0451F">
        <w:rPr>
          <w:b w:val="0"/>
        </w:rPr>
        <w:t xml:space="preserve">  </w:t>
      </w:r>
    </w:p>
    <w:p w:rsidR="00EE4D8F" w:rsidP="00EE4D8F" w14:paraId="3D229A49" w14:textId="77777777">
      <w:pPr>
        <w:pStyle w:val="ListSubhead1"/>
        <w:numPr>
          <w:ilvl w:val="0"/>
          <w:numId w:val="0"/>
        </w:numPr>
        <w:spacing w:after="0"/>
        <w:ind w:left="360"/>
        <w:contextualSpacing/>
        <w:rPr>
          <w:b w:val="0"/>
        </w:rPr>
      </w:pPr>
    </w:p>
    <w:p w:rsidR="00630D21" w:rsidP="00EE4D8F" w14:paraId="6CD14562" w14:textId="46C9BB5A">
      <w:pPr>
        <w:pStyle w:val="ListSubhead1"/>
        <w:numPr>
          <w:ilvl w:val="0"/>
          <w:numId w:val="0"/>
        </w:numPr>
        <w:spacing w:after="0"/>
        <w:ind w:left="360" w:hanging="360"/>
        <w:contextualSpacing/>
        <w:jc w:val="center"/>
        <w:rPr>
          <w:b w:val="0"/>
        </w:rPr>
      </w:pPr>
      <w:hyperlink r:id="rId5" w:history="1">
        <w:r w:rsidRPr="00630D21">
          <w:rPr>
            <w:rStyle w:val="Hyperlink"/>
            <w:b w:val="0"/>
          </w:rPr>
          <w:t>Issue Tracking: Evaluation of Energy Efficiency Resources</w:t>
        </w:r>
      </w:hyperlink>
    </w:p>
    <w:p w:rsidR="00D95C79" w:rsidP="007C3AEF" w14:paraId="1D7BFFC0" w14:textId="4334A773">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4A3403">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auto"/>
          </w:tcPr>
          <w:p w:rsidR="00672C0C" w:rsidRPr="004A3403" w:rsidP="00CF27EE" w14:paraId="14279E6E" w14:textId="13C9A73C">
            <w:pPr>
              <w:pStyle w:val="DisclaimerHeading"/>
              <w:keepLines/>
              <w:spacing w:before="40" w:after="40" w:line="220" w:lineRule="exact"/>
              <w:jc w:val="center"/>
              <w:rPr>
                <w:b w:val="0"/>
                <w:i w:val="0"/>
                <w:iCs w:val="0"/>
                <w:color w:val="auto"/>
                <w:sz w:val="18"/>
                <w:szCs w:val="18"/>
              </w:rPr>
            </w:pPr>
            <w:r w:rsidRPr="004A3403">
              <w:rPr>
                <w:b w:val="0"/>
                <w:i w:val="0"/>
                <w:iCs w:val="0"/>
                <w:color w:val="auto"/>
                <w:sz w:val="18"/>
                <w:szCs w:val="18"/>
              </w:rPr>
              <w:t>May 16</w:t>
            </w:r>
          </w:p>
        </w:tc>
        <w:tc>
          <w:tcPr>
            <w:tcW w:w="983" w:type="dxa"/>
            <w:tcBorders>
              <w:top w:val="single" w:sz="4" w:space="0" w:color="auto"/>
              <w:bottom w:val="single" w:sz="4" w:space="0" w:color="auto"/>
              <w:right w:val="single" w:sz="4" w:space="0" w:color="auto"/>
            </w:tcBorders>
            <w:shd w:val="clear" w:color="auto" w:fill="auto"/>
          </w:tcPr>
          <w:p w:rsidR="00672C0C" w:rsidRPr="004A3403" w:rsidP="00CF27EE" w14:paraId="4EF5ACF7" w14:textId="14920166">
            <w:pPr>
              <w:pStyle w:val="DisclaimerHeading"/>
              <w:keepLines/>
              <w:spacing w:before="40" w:after="40" w:line="220" w:lineRule="exact"/>
              <w:jc w:val="center"/>
              <w:rPr>
                <w:b w:val="0"/>
                <w:iCs/>
                <w:color w:val="auto"/>
                <w:sz w:val="18"/>
                <w:szCs w:val="18"/>
              </w:rPr>
            </w:pPr>
            <w:r w:rsidRPr="004A3403">
              <w:rPr>
                <w:b w:val="0"/>
                <w:iCs/>
                <w:color w:val="auto"/>
                <w:sz w:val="18"/>
                <w:szCs w:val="18"/>
              </w:rPr>
              <w:t>9:00</w:t>
            </w:r>
          </w:p>
        </w:tc>
        <w:tc>
          <w:tcPr>
            <w:tcW w:w="3756" w:type="dxa"/>
            <w:tcBorders>
              <w:top w:val="single" w:sz="4" w:space="0" w:color="auto"/>
              <w:bottom w:val="single" w:sz="4" w:space="0" w:color="auto"/>
              <w:right w:val="single" w:sz="4" w:space="0" w:color="auto"/>
            </w:tcBorders>
            <w:shd w:val="clear" w:color="auto" w:fill="auto"/>
          </w:tcPr>
          <w:p w:rsidR="00672C0C" w:rsidRPr="004A3403" w:rsidP="00CF27EE" w14:paraId="41F952C0" w14:textId="5DF6F05F">
            <w:pPr>
              <w:pStyle w:val="DisclaimerHeading"/>
              <w:keepLines/>
              <w:spacing w:before="40" w:after="40" w:line="220" w:lineRule="exact"/>
              <w:jc w:val="center"/>
              <w:rPr>
                <w:b w:val="0"/>
                <w:iCs/>
                <w:color w:val="auto"/>
                <w:sz w:val="18"/>
                <w:szCs w:val="18"/>
              </w:rPr>
            </w:pPr>
            <w:r w:rsidRPr="004A3403">
              <w:rPr>
                <w:b w:val="0"/>
                <w:iCs/>
                <w:color w:val="auto"/>
                <w:sz w:val="18"/>
                <w:szCs w:val="18"/>
              </w:rPr>
              <w:t>Webex</w:t>
            </w:r>
          </w:p>
        </w:tc>
        <w:tc>
          <w:tcPr>
            <w:tcW w:w="1816" w:type="dxa"/>
            <w:tcBorders>
              <w:top w:val="single" w:sz="4" w:space="0" w:color="auto"/>
              <w:bottom w:val="single" w:sz="4" w:space="0" w:color="auto"/>
              <w:right w:val="single" w:sz="4" w:space="0" w:color="auto"/>
            </w:tcBorders>
            <w:shd w:val="clear" w:color="auto" w:fill="auto"/>
          </w:tcPr>
          <w:p w:rsidR="00672C0C" w:rsidRPr="004A3403" w:rsidP="00CF27EE" w14:paraId="14E8737C" w14:textId="066A1817">
            <w:pPr>
              <w:pStyle w:val="DisclaimerHeading"/>
              <w:keepLines/>
              <w:spacing w:before="40" w:after="40" w:line="220" w:lineRule="exact"/>
              <w:jc w:val="center"/>
              <w:rPr>
                <w:b w:val="0"/>
                <w:iCs/>
                <w:color w:val="auto"/>
                <w:sz w:val="18"/>
                <w:szCs w:val="18"/>
              </w:rPr>
            </w:pPr>
            <w:r w:rsidRPr="004A3403">
              <w:rPr>
                <w:b w:val="0"/>
                <w:iCs/>
                <w:color w:val="auto"/>
                <w:sz w:val="18"/>
                <w:szCs w:val="18"/>
              </w:rPr>
              <w:t>May 13</w:t>
            </w:r>
          </w:p>
        </w:tc>
        <w:tc>
          <w:tcPr>
            <w:tcW w:w="1529" w:type="dxa"/>
            <w:tcBorders>
              <w:top w:val="single" w:sz="4" w:space="0" w:color="auto"/>
              <w:bottom w:val="single" w:sz="4" w:space="0" w:color="auto"/>
              <w:right w:val="single" w:sz="4" w:space="0" w:color="auto"/>
            </w:tcBorders>
            <w:shd w:val="clear" w:color="auto" w:fill="auto"/>
          </w:tcPr>
          <w:p w:rsidR="00672C0C" w:rsidRPr="004A3403" w:rsidP="00CF27EE" w14:paraId="1618331B" w14:textId="3A402DE3">
            <w:pPr>
              <w:pStyle w:val="DisclaimerHeading"/>
              <w:keepLines/>
              <w:spacing w:before="40" w:after="40" w:line="220" w:lineRule="exact"/>
              <w:jc w:val="center"/>
              <w:rPr>
                <w:b w:val="0"/>
                <w:color w:val="auto"/>
                <w:sz w:val="18"/>
                <w:szCs w:val="18"/>
              </w:rPr>
            </w:pPr>
            <w:r w:rsidRPr="004A3403">
              <w:rPr>
                <w:b w:val="0"/>
                <w:color w:val="auto"/>
                <w:sz w:val="18"/>
                <w:szCs w:val="18"/>
              </w:rPr>
              <w:t>May 8</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6340B3D9">
      <w:pPr>
        <w:pStyle w:val="Author"/>
      </w:pPr>
      <w:r>
        <w:t xml:space="preserve">Author: </w:t>
      </w:r>
      <w:r w:rsidR="00E0451F">
        <w:t>A.</w:t>
      </w:r>
      <w:r w:rsidR="00B62962">
        <w:t xml:space="preserve">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6"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1"/>
      <w:footerReference w:type="even" r:id="rId12"/>
      <w:footerReference w:type="default" r:id="rId13"/>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2C99DF1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157B">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CA0416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3910C6">
      <w:rPr>
        <w:sz w:val="16"/>
      </w:rPr>
      <w:t>April 8</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26"/>
    <w:rsid w:val="00014CBA"/>
    <w:rsid w:val="000232DF"/>
    <w:rsid w:val="0002468B"/>
    <w:rsid w:val="00027F49"/>
    <w:rsid w:val="000333FF"/>
    <w:rsid w:val="00047686"/>
    <w:rsid w:val="0006798D"/>
    <w:rsid w:val="00081175"/>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240D7"/>
    <w:rsid w:val="001363BC"/>
    <w:rsid w:val="00140A75"/>
    <w:rsid w:val="001418FB"/>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3C15"/>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10C6"/>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A3403"/>
    <w:rsid w:val="004B14FF"/>
    <w:rsid w:val="004E20DF"/>
    <w:rsid w:val="004E4CE5"/>
    <w:rsid w:val="004F4723"/>
    <w:rsid w:val="004F6A01"/>
    <w:rsid w:val="00500CCB"/>
    <w:rsid w:val="00500F8F"/>
    <w:rsid w:val="00523049"/>
    <w:rsid w:val="00526770"/>
    <w:rsid w:val="00527104"/>
    <w:rsid w:val="00540E82"/>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2C0C"/>
    <w:rsid w:val="00676226"/>
    <w:rsid w:val="00681CC9"/>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3BB2"/>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30AB"/>
    <w:rsid w:val="008A4068"/>
    <w:rsid w:val="008A49F8"/>
    <w:rsid w:val="008B0F5B"/>
    <w:rsid w:val="008B32F0"/>
    <w:rsid w:val="008B71C2"/>
    <w:rsid w:val="008C275E"/>
    <w:rsid w:val="008C3FAC"/>
    <w:rsid w:val="008C7968"/>
    <w:rsid w:val="008D52B8"/>
    <w:rsid w:val="008E5786"/>
    <w:rsid w:val="008E7EA0"/>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C15C4"/>
    <w:rsid w:val="009C1737"/>
    <w:rsid w:val="009C4174"/>
    <w:rsid w:val="009D1CB5"/>
    <w:rsid w:val="009F1E5D"/>
    <w:rsid w:val="009F22CD"/>
    <w:rsid w:val="009F53F9"/>
    <w:rsid w:val="00A05391"/>
    <w:rsid w:val="00A10427"/>
    <w:rsid w:val="00A11B6F"/>
    <w:rsid w:val="00A17F46"/>
    <w:rsid w:val="00A317A9"/>
    <w:rsid w:val="00A336DB"/>
    <w:rsid w:val="00A33BF6"/>
    <w:rsid w:val="00A41149"/>
    <w:rsid w:val="00A43A84"/>
    <w:rsid w:val="00A50F50"/>
    <w:rsid w:val="00A5156B"/>
    <w:rsid w:val="00A53210"/>
    <w:rsid w:val="00A56D57"/>
    <w:rsid w:val="00A60133"/>
    <w:rsid w:val="00A61BB7"/>
    <w:rsid w:val="00A646B1"/>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42DA7"/>
    <w:rsid w:val="00B545EA"/>
    <w:rsid w:val="00B600EB"/>
    <w:rsid w:val="00B602D8"/>
    <w:rsid w:val="00B60ADA"/>
    <w:rsid w:val="00B6157B"/>
    <w:rsid w:val="00B62597"/>
    <w:rsid w:val="00B627E6"/>
    <w:rsid w:val="00B62962"/>
    <w:rsid w:val="00B745EE"/>
    <w:rsid w:val="00B75908"/>
    <w:rsid w:val="00B82CC3"/>
    <w:rsid w:val="00B84A91"/>
    <w:rsid w:val="00B875C8"/>
    <w:rsid w:val="00BA6146"/>
    <w:rsid w:val="00BB4915"/>
    <w:rsid w:val="00BB531B"/>
    <w:rsid w:val="00BB6921"/>
    <w:rsid w:val="00BC159D"/>
    <w:rsid w:val="00BC36D8"/>
    <w:rsid w:val="00BC44BA"/>
    <w:rsid w:val="00BC5311"/>
    <w:rsid w:val="00BD0854"/>
    <w:rsid w:val="00BE3822"/>
    <w:rsid w:val="00BF0C90"/>
    <w:rsid w:val="00BF331B"/>
    <w:rsid w:val="00C0168F"/>
    <w:rsid w:val="00C05CE1"/>
    <w:rsid w:val="00C10A93"/>
    <w:rsid w:val="00C137B6"/>
    <w:rsid w:val="00C1767D"/>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27E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0451F"/>
    <w:rsid w:val="00E1605D"/>
    <w:rsid w:val="00E1739E"/>
    <w:rsid w:val="00E17884"/>
    <w:rsid w:val="00E24727"/>
    <w:rsid w:val="00E3139F"/>
    <w:rsid w:val="00E32B6B"/>
    <w:rsid w:val="00E362A5"/>
    <w:rsid w:val="00E4348C"/>
    <w:rsid w:val="00E5387A"/>
    <w:rsid w:val="00E55E84"/>
    <w:rsid w:val="00E626BB"/>
    <w:rsid w:val="00E77D72"/>
    <w:rsid w:val="00E84898"/>
    <w:rsid w:val="00EA3F2D"/>
    <w:rsid w:val="00EA7071"/>
    <w:rsid w:val="00EB68B0"/>
    <w:rsid w:val="00EB7A58"/>
    <w:rsid w:val="00EC298B"/>
    <w:rsid w:val="00ED71E0"/>
    <w:rsid w:val="00EE4D8F"/>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D4174"/>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a11fcf6-7d40-4caf-b432-f1d2b86167c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AC1F69-4C8F-4A10-9323-C8D40080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