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756FA6EB">
      <w:pPr>
        <w:pStyle w:val="MeetingDetails"/>
      </w:pPr>
      <w:r>
        <w:t xml:space="preserve">Market Implementation </w:t>
      </w:r>
      <w:r w:rsidR="002B2F98">
        <w:t>Committee</w:t>
      </w:r>
      <w:r w:rsidR="00CF27EE">
        <w:t xml:space="preserve"> Special Session: </w:t>
      </w:r>
    </w:p>
    <w:p w:rsidR="00CF27EE" w:rsidRPr="00B62597" w:rsidP="00755096" w14:paraId="576369C6" w14:textId="1D69A46D">
      <w:pPr>
        <w:pStyle w:val="MeetingDetails"/>
      </w:pPr>
      <w:r>
        <w:t>Evaluation of Energy Efficiency Resources</w:t>
      </w:r>
    </w:p>
    <w:p w:rsidR="00B62597" w:rsidRPr="00B62597" w:rsidP="00755096" w14:paraId="54063F49" w14:textId="018EBD8D">
      <w:pPr>
        <w:pStyle w:val="MeetingDetails"/>
      </w:pPr>
      <w:r>
        <w:t xml:space="preserve">PJM Conference &amp; Training Center / </w:t>
      </w:r>
      <w:r>
        <w:t>Webex</w:t>
      </w:r>
    </w:p>
    <w:p w:rsidR="00B62597" w:rsidRPr="00B62597" w:rsidP="00755096" w14:paraId="0EB6B18F" w14:textId="47C703C5">
      <w:pPr>
        <w:pStyle w:val="MeetingDetails"/>
      </w:pPr>
      <w:r>
        <w:t>February</w:t>
      </w:r>
      <w:r w:rsidR="009B43E9">
        <w:t xml:space="preserve"> </w:t>
      </w:r>
      <w:r>
        <w:t>21</w:t>
      </w:r>
      <w:r w:rsidR="002B2F98">
        <w:t xml:space="preserve">, </w:t>
      </w:r>
      <w:r w:rsidR="009A764D">
        <w:t>2024</w:t>
      </w:r>
    </w:p>
    <w:p w:rsidR="00B62597" w:rsidP="00755096" w14:paraId="11C66CDB" w14:textId="16DEDAF3">
      <w:pPr>
        <w:pStyle w:val="MeetingDetails"/>
      </w:pPr>
      <w:r>
        <w:t>9</w:t>
      </w:r>
      <w:r w:rsidR="002B2F98">
        <w:t xml:space="preserve">:00 </w:t>
      </w:r>
      <w:r w:rsidR="00010057">
        <w:t>a</w:t>
      </w:r>
      <w:r w:rsidR="002B2F98">
        <w:t>.m. –</w:t>
      </w:r>
      <w:r w:rsidR="00EA3F2D">
        <w:t xml:space="preserve"> </w:t>
      </w:r>
      <w:r w:rsidR="00BF0C90">
        <w:t>12</w:t>
      </w:r>
      <w:r w:rsidR="009B43E9">
        <w:t>:</w:t>
      </w:r>
      <w:r w:rsidR="005860E1">
        <w:t>00</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F118F" w:rsidRPr="00CF27EE" w:rsidP="00CF27EE" w14:paraId="12F28812" w14:textId="4370B91B">
      <w:pPr>
        <w:pStyle w:val="SecondaryHeading-Numbered"/>
        <w:numPr>
          <w:ilvl w:val="0"/>
          <w:numId w:val="0"/>
        </w:numPr>
        <w:tabs>
          <w:tab w:val="clear" w:pos="0"/>
          <w:tab w:val="left" w:pos="360"/>
        </w:tabs>
        <w:rPr>
          <w:b w:val="0"/>
        </w:rPr>
      </w:pPr>
      <w:r>
        <w:rPr>
          <w:b w:val="0"/>
        </w:rPr>
        <w:t>Amanda Martin, PJM,</w:t>
      </w:r>
      <w:r w:rsidR="008C275E">
        <w:rPr>
          <w:b w:val="0"/>
        </w:rPr>
        <w:t xml:space="preserve"> will review the Antitrust, Code of Conduct, Public Meetings/Media Participation and WebEx Participant Identification Requirements.</w:t>
      </w:r>
    </w:p>
    <w:p w:rsidR="001D3B68" w:rsidRPr="00DB29E9" w:rsidP="007C2954" w14:paraId="55DABEE1" w14:textId="20744776">
      <w:pPr>
        <w:pStyle w:val="PrimaryHeading"/>
      </w:pPr>
      <w:r>
        <w:t>Manual Revisions</w:t>
      </w:r>
      <w:r w:rsidR="00A336DB">
        <w:t xml:space="preserve"> (9:05 – </w:t>
      </w:r>
      <w:r w:rsidR="00C1767D">
        <w:t>10:30</w:t>
      </w:r>
      <w:r w:rsidR="00CF27EE">
        <w:t>)</w:t>
      </w:r>
    </w:p>
    <w:p w:rsidR="008E7EA0" w:rsidRPr="008E7EA0" w:rsidP="00CF27EE" w14:paraId="531050CE" w14:textId="3C72EE7A">
      <w:pPr>
        <w:pStyle w:val="ListSubhead1"/>
        <w:numPr>
          <w:ilvl w:val="0"/>
          <w:numId w:val="15"/>
        </w:numPr>
        <w:spacing w:after="0"/>
        <w:contextualSpacing/>
        <w:rPr>
          <w:b w:val="0"/>
          <w:u w:val="single"/>
        </w:rPr>
      </w:pPr>
      <w:bookmarkStart w:id="2" w:name="_GoBack"/>
      <w:r w:rsidRPr="008E7EA0">
        <w:rPr>
          <w:b w:val="0"/>
          <w:u w:val="single"/>
        </w:rPr>
        <w:t>Manual 18B Revisions</w:t>
      </w:r>
    </w:p>
    <w:bookmarkEnd w:id="2"/>
    <w:p w:rsidR="008E7EA0" w:rsidP="008E7EA0" w14:paraId="0E421EAE" w14:textId="77777777">
      <w:pPr>
        <w:pStyle w:val="ListSubhead1"/>
        <w:numPr>
          <w:ilvl w:val="1"/>
          <w:numId w:val="15"/>
        </w:numPr>
        <w:spacing w:after="0"/>
        <w:contextualSpacing/>
        <w:rPr>
          <w:b w:val="0"/>
        </w:rPr>
      </w:pPr>
      <w:r w:rsidRPr="008E7EA0">
        <w:rPr>
          <w:b w:val="0"/>
        </w:rPr>
        <w:t xml:space="preserve">Pete Langbein, PJM, will review revisions to </w:t>
      </w:r>
      <w:r w:rsidRPr="008E7EA0" w:rsidR="001418FB">
        <w:rPr>
          <w:b w:val="0"/>
        </w:rPr>
        <w:t>Manual 18B: Energy Efficiency Measurement &amp; Verification.</w:t>
      </w:r>
    </w:p>
    <w:p w:rsidR="00081175" w:rsidRPr="008E7EA0" w:rsidP="008E7EA0" w14:paraId="1D5EA8A2" w14:textId="00386332">
      <w:pPr>
        <w:pStyle w:val="ListSubhead1"/>
        <w:numPr>
          <w:ilvl w:val="1"/>
          <w:numId w:val="15"/>
        </w:numPr>
        <w:spacing w:after="0"/>
        <w:contextualSpacing/>
        <w:rPr>
          <w:b w:val="0"/>
        </w:rPr>
      </w:pPr>
      <w:r w:rsidRPr="008E7EA0">
        <w:rPr>
          <w:b w:val="0"/>
          <w:color w:val="FF0000"/>
        </w:rPr>
        <w:t xml:space="preserve">Ken Schisler, CPower, will present alternative revisions to Manual 18B: Energy Efficiency Measurement &amp; Verification. </w:t>
      </w:r>
    </w:p>
    <w:p w:rsidR="00713BB2" w:rsidP="00713BB2" w14:paraId="1ACA08DC" w14:textId="77777777">
      <w:pPr>
        <w:pStyle w:val="ListSubhead1"/>
        <w:numPr>
          <w:ilvl w:val="0"/>
          <w:numId w:val="0"/>
        </w:numPr>
        <w:spacing w:after="0"/>
        <w:ind w:left="360"/>
        <w:contextualSpacing/>
        <w:rPr>
          <w:b w:val="0"/>
        </w:rPr>
      </w:pPr>
    </w:p>
    <w:p w:rsidR="00713BB2" w:rsidP="00713BB2" w14:paraId="1766BE15" w14:textId="77777777">
      <w:pPr>
        <w:pStyle w:val="PrimaryHeading"/>
      </w:pPr>
      <w:r>
        <w:t>Education (10:30 – 11:00)</w:t>
      </w:r>
    </w:p>
    <w:p w:rsidR="00713BB2" w:rsidP="00713BB2" w14:paraId="5B96FAC0" w14:textId="55277BC0">
      <w:pPr>
        <w:pStyle w:val="ListSubhead1"/>
        <w:numPr>
          <w:ilvl w:val="0"/>
          <w:numId w:val="15"/>
        </w:numPr>
        <w:spacing w:after="0"/>
        <w:contextualSpacing/>
        <w:rPr>
          <w:b w:val="0"/>
        </w:rPr>
      </w:pPr>
      <w:r>
        <w:rPr>
          <w:b w:val="0"/>
        </w:rPr>
        <w:t>Pete Langbein will present education on the different types of load modifiers in the capacity market.</w:t>
      </w:r>
    </w:p>
    <w:p w:rsidR="00713BB2" w:rsidP="00713BB2" w14:paraId="4DB3DE41" w14:textId="77777777">
      <w:pPr>
        <w:pStyle w:val="ListSubhead1"/>
        <w:numPr>
          <w:ilvl w:val="0"/>
          <w:numId w:val="0"/>
        </w:numPr>
        <w:spacing w:after="0"/>
        <w:ind w:left="360"/>
        <w:contextualSpacing/>
        <w:rPr>
          <w:b w:val="0"/>
        </w:rPr>
      </w:pPr>
    </w:p>
    <w:p w:rsidR="00713BB2" w:rsidP="00713BB2" w14:paraId="34EF34B3" w14:textId="61D08350">
      <w:pPr>
        <w:pStyle w:val="ListSubhead1"/>
        <w:numPr>
          <w:ilvl w:val="0"/>
          <w:numId w:val="15"/>
        </w:numPr>
        <w:spacing w:after="0"/>
        <w:contextualSpacing/>
        <w:rPr>
          <w:b w:val="0"/>
        </w:rPr>
      </w:pPr>
      <w:r>
        <w:rPr>
          <w:b w:val="0"/>
        </w:rPr>
        <w:t>Molly Mooney, PJM, will present education on addbacks in the long-term load forecast.</w:t>
      </w:r>
    </w:p>
    <w:p w:rsidR="00B16A05" w:rsidRPr="00DF106D" w:rsidP="00B16A05" w14:paraId="32B5E207" w14:textId="62318633">
      <w:pPr>
        <w:pStyle w:val="DisclaimerBodyCopy"/>
      </w:pPr>
    </w:p>
    <w:p w:rsidR="007C3AEF" w:rsidP="00612213" w14:paraId="7B95B0A0" w14:textId="414A7D79">
      <w:pPr>
        <w:pStyle w:val="PrimaryHeading"/>
      </w:pPr>
      <w:r>
        <w:t>Consensus-Based Issue Resolution</w:t>
      </w:r>
      <w:r w:rsidR="00EA3F2D">
        <w:t xml:space="preserve"> </w:t>
      </w:r>
      <w:r w:rsidR="007829E0">
        <w:t>(</w:t>
      </w:r>
      <w:r w:rsidR="00713BB2">
        <w:t>11:00</w:t>
      </w:r>
      <w:r>
        <w:t xml:space="preserve"> – 12</w:t>
      </w:r>
      <w:r w:rsidR="00630D21">
        <w:t>:</w:t>
      </w:r>
      <w:r>
        <w:t>0</w:t>
      </w:r>
      <w:r w:rsidR="00630D21">
        <w:t>0</w:t>
      </w:r>
      <w:r w:rsidR="00F75DBA">
        <w:t>)</w:t>
      </w:r>
    </w:p>
    <w:p w:rsidR="00BC36D8" w:rsidP="00CF27EE" w14:paraId="5C2AA10D" w14:textId="3B8DF701">
      <w:pPr>
        <w:pStyle w:val="ListSubhead1"/>
        <w:numPr>
          <w:ilvl w:val="0"/>
          <w:numId w:val="15"/>
        </w:numPr>
        <w:spacing w:after="0"/>
        <w:contextualSpacing/>
        <w:rPr>
          <w:b w:val="0"/>
        </w:rPr>
      </w:pPr>
      <w:r>
        <w:rPr>
          <w:b w:val="0"/>
        </w:rPr>
        <w:t>Pete Langbein</w:t>
      </w:r>
      <w:r>
        <w:rPr>
          <w:b w:val="0"/>
        </w:rPr>
        <w:t xml:space="preserve"> will present potential solution options.</w:t>
      </w:r>
    </w:p>
    <w:p w:rsidR="00223C15" w:rsidP="00223C15" w14:paraId="0AEF4477" w14:textId="77777777">
      <w:pPr>
        <w:pStyle w:val="ListSubhead1"/>
        <w:numPr>
          <w:ilvl w:val="0"/>
          <w:numId w:val="0"/>
        </w:numPr>
        <w:spacing w:after="0"/>
        <w:ind w:left="360"/>
        <w:contextualSpacing/>
        <w:rPr>
          <w:b w:val="0"/>
        </w:rPr>
      </w:pPr>
    </w:p>
    <w:p w:rsidR="00C26A61" w:rsidP="00CF27EE" w14:paraId="219FD69D" w14:textId="2C65CFF2">
      <w:pPr>
        <w:pStyle w:val="ListSubhead1"/>
        <w:numPr>
          <w:ilvl w:val="0"/>
          <w:numId w:val="15"/>
        </w:numPr>
        <w:spacing w:after="0"/>
        <w:contextualSpacing/>
        <w:rPr>
          <w:b w:val="0"/>
        </w:rPr>
      </w:pPr>
      <w:r>
        <w:rPr>
          <w:b w:val="0"/>
        </w:rPr>
        <w:t>Foluso Afelumo</w:t>
      </w:r>
      <w:r>
        <w:rPr>
          <w:b w:val="0"/>
        </w:rPr>
        <w:t xml:space="preserve"> will lead a discussion on</w:t>
      </w:r>
      <w:r w:rsidR="008A4068">
        <w:rPr>
          <w:b w:val="0"/>
        </w:rPr>
        <w:t xml:space="preserve"> additional</w:t>
      </w:r>
      <w:r w:rsidR="00FB5ED9">
        <w:rPr>
          <w:b w:val="0"/>
        </w:rPr>
        <w:t xml:space="preserve"> solution options</w:t>
      </w:r>
      <w:r>
        <w:rPr>
          <w:b w:val="0"/>
        </w:rPr>
        <w:t xml:space="preserve"> within the matrix.</w:t>
      </w:r>
    </w:p>
    <w:p w:rsidR="00223C15" w:rsidP="00223C15" w14:paraId="3EA4A0C0" w14:textId="478BEA30">
      <w:pPr>
        <w:pStyle w:val="ListSubhead1"/>
        <w:numPr>
          <w:ilvl w:val="0"/>
          <w:numId w:val="0"/>
        </w:numPr>
        <w:spacing w:after="0"/>
        <w:ind w:left="360" w:hanging="360"/>
        <w:contextualSpacing/>
        <w:rPr>
          <w:b w:val="0"/>
        </w:rPr>
      </w:pPr>
    </w:p>
    <w:p w:rsidR="00223C15" w:rsidP="00223C15" w14:paraId="17F3F9BD" w14:textId="0A86B556">
      <w:pPr>
        <w:pStyle w:val="ListSubhead1"/>
        <w:numPr>
          <w:ilvl w:val="0"/>
          <w:numId w:val="0"/>
        </w:numPr>
        <w:spacing w:after="0"/>
        <w:contextualSpacing/>
        <w:rPr>
          <w:b w:val="0"/>
        </w:rPr>
      </w:pPr>
      <w:r>
        <w:rPr>
          <w:b w:val="0"/>
        </w:rPr>
        <w:t xml:space="preserve">Education on Effective Load Carrying Capability (ELCC) Values </w:t>
      </w:r>
      <w:r>
        <w:rPr>
          <w:b w:val="0"/>
        </w:rPr>
        <w:t>can be found</w:t>
      </w:r>
      <w:r>
        <w:rPr>
          <w:b w:val="0"/>
        </w:rPr>
        <w:t xml:space="preserve"> with materials from the </w:t>
      </w:r>
      <w:hyperlink r:id="rId5" w:history="1">
        <w:r w:rsidRPr="00A336DB">
          <w:rPr>
            <w:rStyle w:val="Hyperlink"/>
            <w:b w:val="0"/>
          </w:rPr>
          <w:t>February 16 PC – ELCC Education Session</w:t>
        </w:r>
      </w:hyperlink>
      <w:r>
        <w:rPr>
          <w:b w:val="0"/>
        </w:rPr>
        <w:t xml:space="preserve">.  </w:t>
      </w:r>
    </w:p>
    <w:p w:rsidR="00EE4D8F" w:rsidP="00EE4D8F" w14:paraId="3D229A49" w14:textId="77777777">
      <w:pPr>
        <w:pStyle w:val="ListSubhead1"/>
        <w:numPr>
          <w:ilvl w:val="0"/>
          <w:numId w:val="0"/>
        </w:numPr>
        <w:spacing w:after="0"/>
        <w:ind w:left="360"/>
        <w:contextualSpacing/>
        <w:rPr>
          <w:b w:val="0"/>
        </w:rPr>
      </w:pPr>
    </w:p>
    <w:p w:rsidR="00630D21" w:rsidP="00EE4D8F" w14:paraId="6CD14562" w14:textId="46C9BB5A">
      <w:pPr>
        <w:pStyle w:val="ListSubhead1"/>
        <w:numPr>
          <w:ilvl w:val="0"/>
          <w:numId w:val="0"/>
        </w:numPr>
        <w:spacing w:after="0"/>
        <w:ind w:left="360" w:hanging="360"/>
        <w:contextualSpacing/>
        <w:jc w:val="center"/>
        <w:rPr>
          <w:b w:val="0"/>
        </w:rPr>
      </w:pPr>
      <w:hyperlink r:id="rId6" w:history="1">
        <w:r w:rsidRPr="00630D21">
          <w:rPr>
            <w:rStyle w:val="Hyperlink"/>
            <w:b w:val="0"/>
          </w:rPr>
          <w:t>Issue Tracking: Evaluation of Energy Efficiency Resources</w:t>
        </w:r>
      </w:hyperlink>
    </w:p>
    <w:p w:rsidR="00D95C79" w:rsidP="007C3AEF" w14:paraId="1D7BFFC0" w14:textId="4334A773">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96D41E7" w14:textId="77777777" w:rsidTr="00D37C4F">
        <w:tblPrEx>
          <w:tblW w:w="0" w:type="auto"/>
          <w:tblLook w:val="04A0"/>
        </w:tblPrEx>
        <w:trPr>
          <w:trHeight w:val="331"/>
        </w:trPr>
        <w:tc>
          <w:tcPr>
            <w:tcW w:w="9285" w:type="dxa"/>
            <w:gridSpan w:val="5"/>
            <w:tcBorders>
              <w:top w:val="single" w:sz="4" w:space="0" w:color="auto"/>
              <w:bottom w:val="single" w:sz="4" w:space="0" w:color="auto"/>
              <w:right w:val="single" w:sz="4" w:space="0" w:color="auto"/>
            </w:tcBorders>
            <w:shd w:val="clear" w:color="auto" w:fill="E1F6FF"/>
          </w:tcPr>
          <w:p w:rsidR="00CF27EE" w:rsidRPr="00C10A93" w:rsidP="00CF27EE" w14:paraId="1618331B" w14:textId="56563EA5">
            <w:pPr>
              <w:pStyle w:val="DisclaimerHeading"/>
              <w:keepLines/>
              <w:spacing w:before="40" w:after="40" w:line="220" w:lineRule="exact"/>
              <w:jc w:val="center"/>
              <w:rPr>
                <w:b w:val="0"/>
                <w:color w:val="auto"/>
                <w:sz w:val="18"/>
                <w:szCs w:val="18"/>
              </w:rPr>
            </w:pPr>
            <w:r>
              <w:rPr>
                <w:b w:val="0"/>
                <w:color w:val="auto"/>
                <w:sz w:val="18"/>
                <w:szCs w:val="18"/>
              </w:rPr>
              <w:t>No Future Meeting Dates</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7"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2"/>
      <w:footerReference w:type="even" r:id="rId13"/>
      <w:footerReference w:type="default" r:id="rId14"/>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6A28F61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7EA0">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632FA2C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FD4174">
      <w:rPr>
        <w:sz w:val="16"/>
      </w:rPr>
      <w:t>February</w:t>
    </w:r>
    <w:r w:rsidR="009B43E9">
      <w:rPr>
        <w:sz w:val="16"/>
      </w:rPr>
      <w:t xml:space="preserve"> </w:t>
    </w:r>
    <w:r w:rsidR="00FD4174">
      <w:rPr>
        <w:sz w:val="16"/>
      </w:rPr>
      <w:t>1</w:t>
    </w:r>
    <w:r w:rsidR="008A4068">
      <w:rPr>
        <w:sz w:val="16"/>
      </w:rPr>
      <w:t>6</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
  </w:num>
  <w:num w:numId="11">
    <w:abstractNumId w:val="9"/>
  </w:num>
  <w:num w:numId="12">
    <w:abstractNumId w:val="5"/>
  </w:num>
  <w:num w:numId="13">
    <w:abstractNumId w:val="13"/>
  </w:num>
  <w:num w:numId="14">
    <w:abstractNumId w:val="6"/>
  </w:num>
  <w:num w:numId="15">
    <w:abstractNumId w:val="12"/>
  </w:num>
  <w:num w:numId="16">
    <w:abstractNumId w:val="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BA"/>
    <w:rsid w:val="000232DF"/>
    <w:rsid w:val="0002468B"/>
    <w:rsid w:val="00027F49"/>
    <w:rsid w:val="000333FF"/>
    <w:rsid w:val="00047686"/>
    <w:rsid w:val="0006798D"/>
    <w:rsid w:val="00081175"/>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363BC"/>
    <w:rsid w:val="00140A75"/>
    <w:rsid w:val="001418FB"/>
    <w:rsid w:val="00151CCA"/>
    <w:rsid w:val="00153929"/>
    <w:rsid w:val="00156212"/>
    <w:rsid w:val="00162841"/>
    <w:rsid w:val="00166572"/>
    <w:rsid w:val="001678E8"/>
    <w:rsid w:val="00170E02"/>
    <w:rsid w:val="00182CE6"/>
    <w:rsid w:val="00186F71"/>
    <w:rsid w:val="001B2242"/>
    <w:rsid w:val="001B5C54"/>
    <w:rsid w:val="001B753E"/>
    <w:rsid w:val="001C0CC0"/>
    <w:rsid w:val="001D3B68"/>
    <w:rsid w:val="001F06E2"/>
    <w:rsid w:val="001F5D16"/>
    <w:rsid w:val="0020195C"/>
    <w:rsid w:val="00205DA7"/>
    <w:rsid w:val="0020745E"/>
    <w:rsid w:val="002113BD"/>
    <w:rsid w:val="00222A30"/>
    <w:rsid w:val="00223C15"/>
    <w:rsid w:val="00226417"/>
    <w:rsid w:val="002351B8"/>
    <w:rsid w:val="002417A8"/>
    <w:rsid w:val="002476AE"/>
    <w:rsid w:val="0025139E"/>
    <w:rsid w:val="00253DC8"/>
    <w:rsid w:val="0026645B"/>
    <w:rsid w:val="00275549"/>
    <w:rsid w:val="002A5349"/>
    <w:rsid w:val="002B2F98"/>
    <w:rsid w:val="002B4E48"/>
    <w:rsid w:val="002C555A"/>
    <w:rsid w:val="002C6057"/>
    <w:rsid w:val="002D6A60"/>
    <w:rsid w:val="002E4583"/>
    <w:rsid w:val="002E719B"/>
    <w:rsid w:val="002F118F"/>
    <w:rsid w:val="00303B33"/>
    <w:rsid w:val="003046F5"/>
    <w:rsid w:val="00305238"/>
    <w:rsid w:val="003103EC"/>
    <w:rsid w:val="00320B8C"/>
    <w:rsid w:val="003251CE"/>
    <w:rsid w:val="0033049B"/>
    <w:rsid w:val="00334877"/>
    <w:rsid w:val="00337321"/>
    <w:rsid w:val="0036208E"/>
    <w:rsid w:val="00366447"/>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B14FF"/>
    <w:rsid w:val="004E20DF"/>
    <w:rsid w:val="004E4CE5"/>
    <w:rsid w:val="004F4723"/>
    <w:rsid w:val="004F6A01"/>
    <w:rsid w:val="00500CCB"/>
    <w:rsid w:val="00500F8F"/>
    <w:rsid w:val="00523049"/>
    <w:rsid w:val="00526770"/>
    <w:rsid w:val="00527104"/>
    <w:rsid w:val="00540E82"/>
    <w:rsid w:val="00564DEE"/>
    <w:rsid w:val="00572333"/>
    <w:rsid w:val="0057441E"/>
    <w:rsid w:val="0057530D"/>
    <w:rsid w:val="00583E24"/>
    <w:rsid w:val="005860E1"/>
    <w:rsid w:val="00592F3A"/>
    <w:rsid w:val="005A53E8"/>
    <w:rsid w:val="005A5D0D"/>
    <w:rsid w:val="005B3078"/>
    <w:rsid w:val="005B41A5"/>
    <w:rsid w:val="005C0F8A"/>
    <w:rsid w:val="005C52F4"/>
    <w:rsid w:val="005D6D05"/>
    <w:rsid w:val="005E1DE2"/>
    <w:rsid w:val="005F49C4"/>
    <w:rsid w:val="005F5358"/>
    <w:rsid w:val="006024A0"/>
    <w:rsid w:val="00602967"/>
    <w:rsid w:val="0060317D"/>
    <w:rsid w:val="00606F11"/>
    <w:rsid w:val="00610F08"/>
    <w:rsid w:val="00612213"/>
    <w:rsid w:val="006123FD"/>
    <w:rsid w:val="006215C4"/>
    <w:rsid w:val="00630D21"/>
    <w:rsid w:val="00647FB4"/>
    <w:rsid w:val="00676226"/>
    <w:rsid w:val="00681CC9"/>
    <w:rsid w:val="00693862"/>
    <w:rsid w:val="006B3D14"/>
    <w:rsid w:val="006C738F"/>
    <w:rsid w:val="006D558D"/>
    <w:rsid w:val="006D6838"/>
    <w:rsid w:val="006E3FFB"/>
    <w:rsid w:val="006E50CB"/>
    <w:rsid w:val="006F178A"/>
    <w:rsid w:val="006F2903"/>
    <w:rsid w:val="006F5AA3"/>
    <w:rsid w:val="006F7A52"/>
    <w:rsid w:val="00706989"/>
    <w:rsid w:val="00711249"/>
    <w:rsid w:val="00712CAA"/>
    <w:rsid w:val="00713BB2"/>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9E0"/>
    <w:rsid w:val="00785FCA"/>
    <w:rsid w:val="00786154"/>
    <w:rsid w:val="0079426C"/>
    <w:rsid w:val="007A34A3"/>
    <w:rsid w:val="007A7094"/>
    <w:rsid w:val="007C2954"/>
    <w:rsid w:val="007C3AEF"/>
    <w:rsid w:val="007D06D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30AB"/>
    <w:rsid w:val="008A4068"/>
    <w:rsid w:val="008A49F8"/>
    <w:rsid w:val="008B0F5B"/>
    <w:rsid w:val="008B32F0"/>
    <w:rsid w:val="008B71C2"/>
    <w:rsid w:val="008C275E"/>
    <w:rsid w:val="008C3FAC"/>
    <w:rsid w:val="008C7968"/>
    <w:rsid w:val="008D52B8"/>
    <w:rsid w:val="008E5786"/>
    <w:rsid w:val="008E7EA0"/>
    <w:rsid w:val="008F371C"/>
    <w:rsid w:val="008F6194"/>
    <w:rsid w:val="00903597"/>
    <w:rsid w:val="00904444"/>
    <w:rsid w:val="009159C2"/>
    <w:rsid w:val="00917386"/>
    <w:rsid w:val="00917DAB"/>
    <w:rsid w:val="0093284F"/>
    <w:rsid w:val="00933ECC"/>
    <w:rsid w:val="00936D3F"/>
    <w:rsid w:val="0097702E"/>
    <w:rsid w:val="00991528"/>
    <w:rsid w:val="009A5430"/>
    <w:rsid w:val="009A5F56"/>
    <w:rsid w:val="009A764D"/>
    <w:rsid w:val="009B43E9"/>
    <w:rsid w:val="009C15C4"/>
    <w:rsid w:val="009C1737"/>
    <w:rsid w:val="009C4174"/>
    <w:rsid w:val="009D1CB5"/>
    <w:rsid w:val="009F1E5D"/>
    <w:rsid w:val="009F22CD"/>
    <w:rsid w:val="009F53F9"/>
    <w:rsid w:val="00A05391"/>
    <w:rsid w:val="00A10427"/>
    <w:rsid w:val="00A11B6F"/>
    <w:rsid w:val="00A17F46"/>
    <w:rsid w:val="00A317A9"/>
    <w:rsid w:val="00A336DB"/>
    <w:rsid w:val="00A33BF6"/>
    <w:rsid w:val="00A41149"/>
    <w:rsid w:val="00A43A84"/>
    <w:rsid w:val="00A50F50"/>
    <w:rsid w:val="00A5156B"/>
    <w:rsid w:val="00A53210"/>
    <w:rsid w:val="00A56D57"/>
    <w:rsid w:val="00A60133"/>
    <w:rsid w:val="00A61BB7"/>
    <w:rsid w:val="00A646B1"/>
    <w:rsid w:val="00A70093"/>
    <w:rsid w:val="00A76229"/>
    <w:rsid w:val="00A7691B"/>
    <w:rsid w:val="00A81C33"/>
    <w:rsid w:val="00A83964"/>
    <w:rsid w:val="00A90865"/>
    <w:rsid w:val="00A9254D"/>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42DA7"/>
    <w:rsid w:val="00B545EA"/>
    <w:rsid w:val="00B600EB"/>
    <w:rsid w:val="00B602D8"/>
    <w:rsid w:val="00B60ADA"/>
    <w:rsid w:val="00B62597"/>
    <w:rsid w:val="00B627E6"/>
    <w:rsid w:val="00B62962"/>
    <w:rsid w:val="00B745EE"/>
    <w:rsid w:val="00B75908"/>
    <w:rsid w:val="00B82CC3"/>
    <w:rsid w:val="00B84A91"/>
    <w:rsid w:val="00B875C8"/>
    <w:rsid w:val="00BA6146"/>
    <w:rsid w:val="00BB4915"/>
    <w:rsid w:val="00BB531B"/>
    <w:rsid w:val="00BB6921"/>
    <w:rsid w:val="00BC159D"/>
    <w:rsid w:val="00BC36D8"/>
    <w:rsid w:val="00BC44BA"/>
    <w:rsid w:val="00BC5311"/>
    <w:rsid w:val="00BD0854"/>
    <w:rsid w:val="00BE3822"/>
    <w:rsid w:val="00BF0C90"/>
    <w:rsid w:val="00BF331B"/>
    <w:rsid w:val="00C0168F"/>
    <w:rsid w:val="00C05CE1"/>
    <w:rsid w:val="00C10A93"/>
    <w:rsid w:val="00C137B6"/>
    <w:rsid w:val="00C1767D"/>
    <w:rsid w:val="00C25A15"/>
    <w:rsid w:val="00C26A61"/>
    <w:rsid w:val="00C32394"/>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27EE"/>
    <w:rsid w:val="00CF7A05"/>
    <w:rsid w:val="00D00FD4"/>
    <w:rsid w:val="00D0157C"/>
    <w:rsid w:val="00D02FA9"/>
    <w:rsid w:val="00D06EC8"/>
    <w:rsid w:val="00D101CA"/>
    <w:rsid w:val="00D11E7B"/>
    <w:rsid w:val="00D136EA"/>
    <w:rsid w:val="00D204C1"/>
    <w:rsid w:val="00D251ED"/>
    <w:rsid w:val="00D318B9"/>
    <w:rsid w:val="00D35B87"/>
    <w:rsid w:val="00D5630A"/>
    <w:rsid w:val="00D57BFA"/>
    <w:rsid w:val="00D827A6"/>
    <w:rsid w:val="00D831E4"/>
    <w:rsid w:val="00D93E62"/>
    <w:rsid w:val="00D93ED8"/>
    <w:rsid w:val="00D95949"/>
    <w:rsid w:val="00D95C79"/>
    <w:rsid w:val="00DA23DE"/>
    <w:rsid w:val="00DB16E3"/>
    <w:rsid w:val="00DB29E9"/>
    <w:rsid w:val="00DB37C0"/>
    <w:rsid w:val="00DC2721"/>
    <w:rsid w:val="00DD6541"/>
    <w:rsid w:val="00DD66D0"/>
    <w:rsid w:val="00DD6ED2"/>
    <w:rsid w:val="00DE1772"/>
    <w:rsid w:val="00DE34CF"/>
    <w:rsid w:val="00DF106D"/>
    <w:rsid w:val="00DF1112"/>
    <w:rsid w:val="00DF77EF"/>
    <w:rsid w:val="00E02A6C"/>
    <w:rsid w:val="00E1605D"/>
    <w:rsid w:val="00E1739E"/>
    <w:rsid w:val="00E17884"/>
    <w:rsid w:val="00E24727"/>
    <w:rsid w:val="00E3139F"/>
    <w:rsid w:val="00E32B6B"/>
    <w:rsid w:val="00E362A5"/>
    <w:rsid w:val="00E4348C"/>
    <w:rsid w:val="00E5387A"/>
    <w:rsid w:val="00E55E84"/>
    <w:rsid w:val="00E626BB"/>
    <w:rsid w:val="00E77D72"/>
    <w:rsid w:val="00E84898"/>
    <w:rsid w:val="00EA3F2D"/>
    <w:rsid w:val="00EA7071"/>
    <w:rsid w:val="00EB68B0"/>
    <w:rsid w:val="00EB7A58"/>
    <w:rsid w:val="00EC298B"/>
    <w:rsid w:val="00ED71E0"/>
    <w:rsid w:val="00EE4D8F"/>
    <w:rsid w:val="00F070E8"/>
    <w:rsid w:val="00F17091"/>
    <w:rsid w:val="00F226B0"/>
    <w:rsid w:val="00F2753D"/>
    <w:rsid w:val="00F36C4D"/>
    <w:rsid w:val="00F40EE7"/>
    <w:rsid w:val="00F4190F"/>
    <w:rsid w:val="00F42A65"/>
    <w:rsid w:val="00F5077C"/>
    <w:rsid w:val="00F50F37"/>
    <w:rsid w:val="00F53E72"/>
    <w:rsid w:val="00F5613A"/>
    <w:rsid w:val="00F56FB5"/>
    <w:rsid w:val="00F57410"/>
    <w:rsid w:val="00F64F88"/>
    <w:rsid w:val="00F672AB"/>
    <w:rsid w:val="00F70D8B"/>
    <w:rsid w:val="00F75DBA"/>
    <w:rsid w:val="00F9070D"/>
    <w:rsid w:val="00F915D1"/>
    <w:rsid w:val="00F93051"/>
    <w:rsid w:val="00F977A3"/>
    <w:rsid w:val="00FA5955"/>
    <w:rsid w:val="00FA618F"/>
    <w:rsid w:val="00FA6B0D"/>
    <w:rsid w:val="00FB1739"/>
    <w:rsid w:val="00FB3A25"/>
    <w:rsid w:val="00FB5ED9"/>
    <w:rsid w:val="00FB7617"/>
    <w:rsid w:val="00FC26A7"/>
    <w:rsid w:val="00FC2B64"/>
    <w:rsid w:val="00FC2B9A"/>
    <w:rsid w:val="00FC5CAC"/>
    <w:rsid w:val="00FD4174"/>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forms/registration/Meeting%20Registration.aspx?ID=%7b4e7ea6e2-c85f-4a4e-bfd9-1f6e39640c31%7d" TargetMode="External" /><Relationship Id="rId6" Type="http://schemas.openxmlformats.org/officeDocument/2006/relationships/hyperlink" Target="https://pjm.com/committees-and-groups/issue-tracking/issue-tracking-details.aspx?Issue=5a11fcf6-7d40-4caf-b432-f1d2b86167ce"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4E68120-3185-4E9B-8FCE-A5572DB0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